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1EF0813D"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D1123D">
        <w:rPr>
          <w:rFonts w:cs="Arial"/>
        </w:rPr>
        <w:t>VA</w:t>
      </w:r>
      <w:r w:rsidR="00901837" w:rsidRPr="00A033C2">
        <w:rPr>
          <w:rFonts w:cs="Arial"/>
        </w:rPr>
        <w:t xml:space="preserve"> </w:t>
      </w:r>
      <w:r w:rsidR="00D1123D">
        <w:rPr>
          <w:rFonts w:cs="Arial"/>
        </w:rPr>
        <w:t>05</w:t>
      </w:r>
      <w:r w:rsidR="00901837" w:rsidRPr="00A033C2">
        <w:rPr>
          <w:rFonts w:cs="Arial"/>
        </w:rPr>
        <w:t>/20</w:t>
      </w:r>
      <w:r w:rsidR="00D1123D">
        <w:rPr>
          <w:rFonts w:cs="Arial"/>
        </w:rPr>
        <w:t>25</w:t>
      </w:r>
      <w:r w:rsidR="00901837" w:rsidRPr="00A033C2">
        <w:rPr>
          <w:rFonts w:cs="Arial"/>
        </w:rPr>
        <w:t xml:space="preserve">, S. </w:t>
      </w:r>
      <w:r w:rsidR="00D1123D">
        <w:rPr>
          <w:rFonts w:cs="Arial"/>
        </w:rPr>
        <w:t>81</w:t>
      </w:r>
    </w:p>
    <w:p w14:paraId="1B2A77AE" w14:textId="5616CDDA" w:rsidR="00901837" w:rsidRPr="00A033C2" w:rsidRDefault="000B1F5F" w:rsidP="00D1123D">
      <w:pPr>
        <w:pStyle w:val="A-berschriftgro"/>
      </w:pPr>
      <w:r>
        <w:rPr>
          <w:rFonts w:ascii="Arial" w:hAnsi="Arial" w:cs="Arial"/>
        </w:rPr>
        <w:br/>
      </w:r>
      <w:r w:rsidR="00D1123D">
        <w:rPr>
          <w:rFonts w:ascii="Arial" w:hAnsi="Arial" w:cs="Arial"/>
        </w:rPr>
        <w:t>Nutzungsausfall statt Mietwagen: Klagebegründung</w:t>
      </w: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0E6AA291" w14:textId="77777777" w:rsidR="00D1123D" w:rsidRPr="00282C78" w:rsidRDefault="00D1123D" w:rsidP="00D1123D">
      <w:pPr>
        <w:pStyle w:val="A-Grundtext"/>
        <w:spacing w:line="240" w:lineRule="auto"/>
        <w:rPr>
          <w:szCs w:val="21"/>
        </w:rPr>
      </w:pPr>
    </w:p>
    <w:p w14:paraId="2BEB568A"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Der Kläger hatte zwar unfallbedingt einen Mietwagen genommen, macht jedoch dennoch zur Vereinfachung und zur Vermeidung ungezählter Fragen rund um die Mietwagenkostenerstattung, die zwischenzeitlich an manchen Gerichten die Funktionsfähigkeit lähmen, Nutzungsausfallentschädigung geltend.</w:t>
      </w:r>
    </w:p>
    <w:p w14:paraId="7E63B901" w14:textId="77777777" w:rsidR="00D1123D" w:rsidRPr="00282C78" w:rsidRDefault="00D1123D" w:rsidP="00D1123D">
      <w:pPr>
        <w:spacing w:after="0" w:line="240" w:lineRule="auto"/>
        <w:ind w:right="1701"/>
        <w:jc w:val="both"/>
        <w:rPr>
          <w:rFonts w:ascii="Arial" w:hAnsi="Arial" w:cs="Arial"/>
          <w:sz w:val="21"/>
          <w:szCs w:val="21"/>
        </w:rPr>
      </w:pPr>
    </w:p>
    <w:p w14:paraId="52BD6980"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 xml:space="preserve">Einen Mietwagen gehabt zu haben und dennoch Nutzungsausfallentschädigung zu </w:t>
      </w:r>
      <w:proofErr w:type="gramStart"/>
      <w:r w:rsidRPr="00282C78">
        <w:rPr>
          <w:rFonts w:ascii="Arial" w:hAnsi="Arial" w:cs="Arial"/>
          <w:sz w:val="21"/>
          <w:szCs w:val="21"/>
        </w:rPr>
        <w:t>beanspruchen</w:t>
      </w:r>
      <w:proofErr w:type="gramEnd"/>
      <w:r w:rsidRPr="00282C78">
        <w:rPr>
          <w:rFonts w:ascii="Arial" w:hAnsi="Arial" w:cs="Arial"/>
          <w:sz w:val="21"/>
          <w:szCs w:val="21"/>
        </w:rPr>
        <w:t xml:space="preserve"> schließt sich nicht aus.</w:t>
      </w:r>
    </w:p>
    <w:p w14:paraId="4785435E" w14:textId="77777777" w:rsidR="00D1123D" w:rsidRPr="00282C78" w:rsidRDefault="00D1123D" w:rsidP="00D1123D">
      <w:pPr>
        <w:spacing w:after="0" w:line="240" w:lineRule="auto"/>
        <w:ind w:right="1701"/>
        <w:jc w:val="both"/>
        <w:rPr>
          <w:rFonts w:ascii="Arial" w:hAnsi="Arial" w:cs="Arial"/>
          <w:sz w:val="21"/>
          <w:szCs w:val="21"/>
        </w:rPr>
      </w:pPr>
    </w:p>
    <w:p w14:paraId="5E764E41"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 xml:space="preserve">Maßgeblich ist die Entscheidung des BGH vom </w:t>
      </w:r>
      <w:r>
        <w:rPr>
          <w:rFonts w:ascii="Arial" w:hAnsi="Arial" w:cs="Arial"/>
          <w:sz w:val="21"/>
          <w:szCs w:val="21"/>
        </w:rPr>
        <w:t>0</w:t>
      </w:r>
      <w:r w:rsidRPr="00282C78">
        <w:rPr>
          <w:rFonts w:ascii="Arial" w:hAnsi="Arial" w:cs="Arial"/>
          <w:sz w:val="21"/>
          <w:szCs w:val="21"/>
        </w:rPr>
        <w:t>5.</w:t>
      </w:r>
      <w:r>
        <w:rPr>
          <w:rFonts w:ascii="Arial" w:hAnsi="Arial" w:cs="Arial"/>
          <w:sz w:val="21"/>
          <w:szCs w:val="21"/>
        </w:rPr>
        <w:t>02.2013 (</w:t>
      </w:r>
      <w:r w:rsidRPr="00282C78">
        <w:rPr>
          <w:rFonts w:ascii="Arial" w:hAnsi="Arial" w:cs="Arial"/>
          <w:sz w:val="21"/>
          <w:szCs w:val="21"/>
        </w:rPr>
        <w:t>Az. VI ZR 290/11</w:t>
      </w:r>
      <w:r>
        <w:rPr>
          <w:rFonts w:ascii="Arial" w:hAnsi="Arial" w:cs="Arial"/>
          <w:sz w:val="21"/>
          <w:szCs w:val="21"/>
        </w:rPr>
        <w:t xml:space="preserve">, IWW-Abruf-Nr. </w:t>
      </w:r>
      <w:hyperlink r:id="rId7" w:history="1">
        <w:r w:rsidRPr="00432625">
          <w:rPr>
            <w:rStyle w:val="Hyperlink"/>
            <w:rFonts w:ascii="Arial" w:hAnsi="Arial" w:cs="Arial"/>
            <w:sz w:val="21"/>
            <w:szCs w:val="21"/>
          </w:rPr>
          <w:t>130926</w:t>
        </w:r>
      </w:hyperlink>
      <w:r>
        <w:rPr>
          <w:rFonts w:ascii="Arial" w:hAnsi="Arial" w:cs="Arial"/>
          <w:sz w:val="21"/>
          <w:szCs w:val="21"/>
        </w:rPr>
        <w:t xml:space="preserve">). </w:t>
      </w:r>
      <w:r w:rsidRPr="00282C78">
        <w:rPr>
          <w:rFonts w:ascii="Arial" w:hAnsi="Arial" w:cs="Arial"/>
          <w:sz w:val="21"/>
          <w:szCs w:val="21"/>
        </w:rPr>
        <w:t>Der kann entnommen werden: Dass der Geschädigte einen Mietwagen hatte, hindert nicht die Geltendmachung von Nutzungsausfallentschädigung.</w:t>
      </w:r>
    </w:p>
    <w:p w14:paraId="7BA4FD09" w14:textId="77777777" w:rsidR="00D1123D" w:rsidRPr="00282C78" w:rsidRDefault="00D1123D" w:rsidP="00D1123D">
      <w:pPr>
        <w:spacing w:after="0" w:line="240" w:lineRule="auto"/>
        <w:ind w:right="1701"/>
        <w:jc w:val="both"/>
        <w:rPr>
          <w:rFonts w:ascii="Arial" w:hAnsi="Arial" w:cs="Arial"/>
          <w:sz w:val="21"/>
          <w:szCs w:val="21"/>
        </w:rPr>
      </w:pPr>
    </w:p>
    <w:p w14:paraId="038C31EB"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 xml:space="preserve">Zum Verhältnis von Nutzungsausfallentschädigung zu Mietwagenkosten hat der BGH in der Entscheidung so präzise formuliert, dass hier die </w:t>
      </w:r>
      <w:r>
        <w:rPr>
          <w:rFonts w:ascii="Arial" w:hAnsi="Arial" w:cs="Arial"/>
          <w:sz w:val="21"/>
          <w:szCs w:val="21"/>
        </w:rPr>
        <w:t xml:space="preserve">maßgeblichen Passagen </w:t>
      </w:r>
      <w:r w:rsidRPr="00282C78">
        <w:rPr>
          <w:rFonts w:ascii="Arial" w:hAnsi="Arial" w:cs="Arial"/>
          <w:sz w:val="21"/>
          <w:szCs w:val="21"/>
        </w:rPr>
        <w:t>wörtlich</w:t>
      </w:r>
      <w:r>
        <w:rPr>
          <w:rFonts w:ascii="Arial" w:hAnsi="Arial" w:cs="Arial"/>
          <w:sz w:val="21"/>
          <w:szCs w:val="21"/>
        </w:rPr>
        <w:t xml:space="preserve"> wiedergegeben werden</w:t>
      </w:r>
      <w:r w:rsidRPr="00282C78">
        <w:rPr>
          <w:rFonts w:ascii="Arial" w:hAnsi="Arial" w:cs="Arial"/>
          <w:sz w:val="21"/>
          <w:szCs w:val="21"/>
        </w:rPr>
        <w:t xml:space="preserve">: </w:t>
      </w:r>
    </w:p>
    <w:p w14:paraId="3463AA5C" w14:textId="77777777" w:rsidR="00D1123D" w:rsidRPr="00282C78" w:rsidRDefault="00D1123D" w:rsidP="00D1123D">
      <w:pPr>
        <w:spacing w:after="0" w:line="240" w:lineRule="auto"/>
        <w:ind w:right="1701"/>
        <w:jc w:val="both"/>
        <w:rPr>
          <w:rFonts w:ascii="Arial" w:hAnsi="Arial" w:cs="Arial"/>
          <w:sz w:val="21"/>
          <w:szCs w:val="21"/>
        </w:rPr>
      </w:pPr>
    </w:p>
    <w:p w14:paraId="6E8B68C8"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 xml:space="preserve">„Rechtsfehlerhaft ist die Ansicht des Berufungsgerichts, dem Anspruch auf Nutzungsausfallentschädigung stehe der Umstand entgegen, dass die Klägerin tatsächlich für die Dauer der Reparaturzeit einen Mietwagen angemietet habe, sich mithin einen Ausgleich für die unfallbedingt entzogene Nutzungsmöglichkeit gegen ein Entgelt ‚erkauft‘ und diese Mietwagenkosten gegenüber der Beklagten auf Grund der Rechnung der Autovermietung auch konkret abgerechnet habe. Das Berufungsgericht meint, der Nutzungsausfall könne dem Unfallgeschädigten nicht fiktiv zugesprochen werden, vielmehr müsse </w:t>
      </w:r>
      <w:r>
        <w:rPr>
          <w:rFonts w:ascii="Arial" w:hAnsi="Arial" w:cs="Arial"/>
          <w:sz w:val="21"/>
          <w:szCs w:val="21"/>
        </w:rPr>
        <w:t>–</w:t>
      </w:r>
      <w:r w:rsidRPr="00282C78">
        <w:rPr>
          <w:rFonts w:ascii="Arial" w:hAnsi="Arial" w:cs="Arial"/>
          <w:sz w:val="21"/>
          <w:szCs w:val="21"/>
        </w:rPr>
        <w:t xml:space="preserve"> neben dem Vorliegen eines Nu</w:t>
      </w:r>
      <w:r>
        <w:rPr>
          <w:rFonts w:ascii="Arial" w:hAnsi="Arial" w:cs="Arial"/>
          <w:sz w:val="21"/>
          <w:szCs w:val="21"/>
        </w:rPr>
        <w:t>tzungswillens des Geschädigten –</w:t>
      </w:r>
      <w:r w:rsidRPr="00282C78">
        <w:rPr>
          <w:rFonts w:ascii="Arial" w:hAnsi="Arial" w:cs="Arial"/>
          <w:sz w:val="21"/>
          <w:szCs w:val="21"/>
        </w:rPr>
        <w:t xml:space="preserve"> nachweislich ein Kraftfahrzeug nicht zur Verfügung gestanden haben. Zwar sei hier der P</w:t>
      </w:r>
      <w:r>
        <w:rPr>
          <w:rFonts w:ascii="Arial" w:hAnsi="Arial" w:cs="Arial"/>
          <w:sz w:val="21"/>
          <w:szCs w:val="21"/>
        </w:rPr>
        <w:t>kw</w:t>
      </w:r>
      <w:r w:rsidRPr="00282C78">
        <w:rPr>
          <w:rFonts w:ascii="Arial" w:hAnsi="Arial" w:cs="Arial"/>
          <w:sz w:val="21"/>
          <w:szCs w:val="21"/>
        </w:rPr>
        <w:t xml:space="preserve"> der Klägerin unfallbedingt nicht mehr fahrtüchtig gewesen, die Klägerin habe sich jedoch während des gesamten Reparaturzeitraumes ein Ersatzfahrzeug angemietet, so dass insoweit ein tatsächlicher Nutzungsausfall überhaupt nicht eingetreten sei. In diesem Fall könne sie lediglich die erforderlichen Kosten für die Anmietung eines Ersatzfahrzeugs als Unfallfolgeschaden geltend machen, nicht jedoch zusätzlich eine Nutzungsausfallentschädigung verlangen.</w:t>
      </w:r>
    </w:p>
    <w:p w14:paraId="753FA6EE" w14:textId="77777777" w:rsidR="00D1123D" w:rsidRPr="00282C78" w:rsidRDefault="00D1123D" w:rsidP="00D1123D">
      <w:pPr>
        <w:spacing w:after="0" w:line="240" w:lineRule="auto"/>
        <w:ind w:right="1701"/>
        <w:jc w:val="both"/>
        <w:rPr>
          <w:rFonts w:ascii="Arial" w:hAnsi="Arial" w:cs="Arial"/>
          <w:sz w:val="21"/>
          <w:szCs w:val="21"/>
        </w:rPr>
      </w:pPr>
    </w:p>
    <w:p w14:paraId="25F3F66B"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Diese Ausführungen begegnen in mehrfacher Hinsicht durchgreifenden Bedenken.</w:t>
      </w:r>
    </w:p>
    <w:p w14:paraId="1B412763" w14:textId="77777777" w:rsidR="00D1123D" w:rsidRPr="00282C78" w:rsidRDefault="00D1123D" w:rsidP="00D1123D">
      <w:pPr>
        <w:spacing w:after="0" w:line="240" w:lineRule="auto"/>
        <w:ind w:right="1701"/>
        <w:jc w:val="both"/>
        <w:rPr>
          <w:rFonts w:ascii="Arial" w:hAnsi="Arial" w:cs="Arial"/>
          <w:sz w:val="21"/>
          <w:szCs w:val="21"/>
        </w:rPr>
      </w:pPr>
    </w:p>
    <w:p w14:paraId="2D90C381"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Zunächst geht es hier nicht darum, Mietwagenkosten und daneben ‚zusätzlich‘ eine Nutzungsausfallentschädigung geltend zu machen. Es geht lediglich darum, ob der Geschädigte, der eine schadensrechtlich als unwirtschaftlich einzustufende Maßnahme (hier: Anmietung eines Mietwagens) ergreift, statt der dafür aufgewendeten, aber nicht ersatzfähigen Kosten zumindest die (meistens) geringere Nutzungsausfallentschädigung verlangen kann. Dabei kann davon ausgegangen werden, dass die Nutzungsausfallentschädigung zu dem Anspruch auf Ausgleich konkreter Vermögensnachteile, die dem Geschädigten durch Aufwendungen für die Erlangung einer ersatzweisen Nutzungsmöglichkeit (insbesondere Mietwagen- oder Taxikosten) entstehen, in einem Alternativverhältnis steht (vgl. OLG Koblenz, Schaden-Praxis 2012, 259, 260).“</w:t>
      </w:r>
    </w:p>
    <w:p w14:paraId="25A8EABB" w14:textId="77777777" w:rsidR="00D1123D" w:rsidRPr="00282C78" w:rsidRDefault="00D1123D" w:rsidP="00D1123D">
      <w:pPr>
        <w:spacing w:after="0" w:line="240" w:lineRule="auto"/>
        <w:ind w:right="1701"/>
        <w:jc w:val="both"/>
        <w:rPr>
          <w:rFonts w:ascii="Arial" w:hAnsi="Arial" w:cs="Arial"/>
          <w:sz w:val="21"/>
          <w:szCs w:val="21"/>
        </w:rPr>
      </w:pPr>
    </w:p>
    <w:p w14:paraId="5C41CA9E"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lastRenderedPageBreak/>
        <w:t xml:space="preserve">Und der nächste Satz lautet unmissverständlich: </w:t>
      </w:r>
    </w:p>
    <w:p w14:paraId="63070290" w14:textId="77777777" w:rsidR="00D1123D" w:rsidRPr="00282C78" w:rsidRDefault="00D1123D" w:rsidP="00D1123D">
      <w:pPr>
        <w:spacing w:after="0" w:line="240" w:lineRule="auto"/>
        <w:ind w:right="1701"/>
        <w:jc w:val="both"/>
        <w:rPr>
          <w:rFonts w:ascii="Arial" w:hAnsi="Arial" w:cs="Arial"/>
          <w:sz w:val="21"/>
          <w:szCs w:val="21"/>
        </w:rPr>
      </w:pPr>
    </w:p>
    <w:p w14:paraId="1EFA2F1F" w14:textId="77777777" w:rsidR="00D1123D" w:rsidRDefault="00D1123D" w:rsidP="00D1123D">
      <w:pPr>
        <w:spacing w:after="0" w:line="240" w:lineRule="auto"/>
        <w:ind w:right="1701"/>
        <w:jc w:val="both"/>
        <w:rPr>
          <w:rFonts w:ascii="Arial" w:hAnsi="Arial" w:cs="Arial"/>
          <w:b/>
          <w:sz w:val="21"/>
          <w:szCs w:val="21"/>
        </w:rPr>
      </w:pPr>
      <w:r w:rsidRPr="00282C78">
        <w:rPr>
          <w:rFonts w:ascii="Arial" w:hAnsi="Arial" w:cs="Arial"/>
          <w:b/>
          <w:sz w:val="21"/>
          <w:szCs w:val="21"/>
        </w:rPr>
        <w:t>„Jedenfalls hat der Geschädigte die Wahl, ob er einen konkreten Nutzungsausfallschaden oder eine pauschalierte Entschädigung für den allgemeinen Verlust seiner Nutzungsmöglichkeit verlangt.“</w:t>
      </w:r>
    </w:p>
    <w:p w14:paraId="7EEE85CF" w14:textId="77777777" w:rsidR="00D1123D" w:rsidRPr="00282C78" w:rsidRDefault="00D1123D" w:rsidP="00D1123D">
      <w:pPr>
        <w:spacing w:after="0" w:line="240" w:lineRule="auto"/>
        <w:ind w:right="1701"/>
        <w:jc w:val="both"/>
        <w:rPr>
          <w:rFonts w:ascii="Arial" w:hAnsi="Arial" w:cs="Arial"/>
          <w:b/>
          <w:sz w:val="21"/>
          <w:szCs w:val="21"/>
        </w:rPr>
      </w:pPr>
    </w:p>
    <w:p w14:paraId="1F905654"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Und kurz danach erklärt der BGH:</w:t>
      </w:r>
    </w:p>
    <w:p w14:paraId="7F4C9F5E" w14:textId="77777777" w:rsidR="00D1123D" w:rsidRPr="00282C78" w:rsidRDefault="00D1123D" w:rsidP="00D1123D">
      <w:pPr>
        <w:spacing w:after="0" w:line="240" w:lineRule="auto"/>
        <w:ind w:right="1701"/>
        <w:jc w:val="both"/>
        <w:rPr>
          <w:rFonts w:ascii="Arial" w:hAnsi="Arial" w:cs="Arial"/>
          <w:sz w:val="21"/>
          <w:szCs w:val="21"/>
        </w:rPr>
      </w:pPr>
    </w:p>
    <w:p w14:paraId="398AC499"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„Der vorübergehende Fortfall der Benutzbarkeit ist deshalb bereits ein Vermögensschaden, der einen Schadensersatzanspruch zur Entstehung gelangen lässt (vgl. BGH,</w:t>
      </w:r>
      <w:r>
        <w:rPr>
          <w:rFonts w:ascii="Arial" w:hAnsi="Arial" w:cs="Arial"/>
          <w:sz w:val="21"/>
          <w:szCs w:val="21"/>
        </w:rPr>
        <w:t xml:space="preserve"> Urteil vom 30. September 1963 –</w:t>
      </w:r>
      <w:r w:rsidRPr="00282C78">
        <w:rPr>
          <w:rFonts w:ascii="Arial" w:hAnsi="Arial" w:cs="Arial"/>
          <w:sz w:val="21"/>
          <w:szCs w:val="21"/>
        </w:rPr>
        <w:t xml:space="preserve"> III ZR 137/62, BGHZ 40, 345, 348 f.). Gleichwohl kann diese Vermögenseinbuße konkret auf der Grundlage angefallener Kosten für ein Ersatzfahrzeug als auch abstrakt als Nutzungsausfallentschädigung auf der Grundlage der üblicherweise benutzten Tabellen berechnet werden. In letzterem Fall muss der Geschädigte nicht vortragen, dass ihn der Nutzungsausfall etwas gekostet hat. Erforderlich ist nur, dass ein Nutzungswille bestand und sich die zeitweise Unbenutzbarkeit des Fahrzeugs ausgewirkt hat.“</w:t>
      </w:r>
    </w:p>
    <w:p w14:paraId="1BA4E758" w14:textId="77777777" w:rsidR="00D1123D" w:rsidRPr="00282C78" w:rsidRDefault="00D1123D" w:rsidP="00D1123D">
      <w:pPr>
        <w:spacing w:after="0" w:line="240" w:lineRule="auto"/>
        <w:ind w:right="1701"/>
        <w:jc w:val="both"/>
        <w:rPr>
          <w:rFonts w:ascii="Arial" w:hAnsi="Arial" w:cs="Arial"/>
          <w:sz w:val="21"/>
          <w:szCs w:val="21"/>
        </w:rPr>
      </w:pPr>
    </w:p>
    <w:p w14:paraId="204BD291"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Mag das auf den ersten Blick auch ungewohnt erscheinen, so ist es doch tägliche Praxis in der Schadenregulierung, dass ein Geschädigter, der konkrete und kostenauslösende Maßnahme der Beseitigung der entzogenen Mobilität ergriffen hat, statt zur Erstattung dieser Kosten zur Nutzungsausfallentschädigung greift. Oder hat jemals jemand (ernsthaft) behauptet, wer eine Taxiquittung und ein paar Busfahrkarten in der Tasche habe, dürfe deshalb keine Nutzungsausfallentschädigung mehr verlangen?</w:t>
      </w:r>
    </w:p>
    <w:p w14:paraId="17D9D5FA" w14:textId="77777777" w:rsidR="00D1123D" w:rsidRPr="00282C78" w:rsidRDefault="00D1123D" w:rsidP="00D1123D">
      <w:pPr>
        <w:spacing w:after="0" w:line="240" w:lineRule="auto"/>
        <w:ind w:right="1701"/>
        <w:jc w:val="both"/>
        <w:rPr>
          <w:rFonts w:ascii="Arial" w:hAnsi="Arial" w:cs="Arial"/>
          <w:sz w:val="21"/>
          <w:szCs w:val="21"/>
        </w:rPr>
      </w:pPr>
    </w:p>
    <w:p w14:paraId="1AF28E5F" w14:textId="77777777" w:rsidR="00D1123D"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t>Auf den Satz aus der BGH-Entscheidung „Jedenfalls hat der Geschädigte die Wahl, ob er einen konkreten Nutzungsausfallschaden oder eine pauschalierte Entschädigung für den allgemeinen Verlust seiner Nutzungsmöglichkeit verlangt.“ wird oftmals mit einem „Na klar, aber nur vorher“ reagiert. Das ist zweifelsfrei nicht richtig, denn in der BGH-Entscheidung hat die Geschädigte auch „vorher“ einen Mietwagen genommen und vor dem Hintergrund der Schwierigkeiten bei der Regulierung (dort war es die weniger als 20 km pro Tag-Frage) erst „hinterher“ hilfsweise die Nutzungsausfallentschädigung begehrt.</w:t>
      </w:r>
    </w:p>
    <w:p w14:paraId="664C8EFA" w14:textId="77777777" w:rsidR="00D1123D" w:rsidRPr="00282C78" w:rsidRDefault="00D1123D" w:rsidP="00D1123D">
      <w:pPr>
        <w:spacing w:after="0" w:line="240" w:lineRule="auto"/>
        <w:ind w:right="1701"/>
        <w:jc w:val="both"/>
        <w:rPr>
          <w:rFonts w:ascii="Arial" w:hAnsi="Arial" w:cs="Arial"/>
          <w:sz w:val="21"/>
          <w:szCs w:val="21"/>
        </w:rPr>
      </w:pPr>
    </w:p>
    <w:p w14:paraId="2215FD11" w14:textId="77777777" w:rsidR="00D1123D" w:rsidRDefault="00D1123D" w:rsidP="00D1123D">
      <w:pPr>
        <w:spacing w:after="0" w:line="240" w:lineRule="auto"/>
        <w:ind w:right="1701"/>
        <w:jc w:val="both"/>
        <w:rPr>
          <w:rFonts w:ascii="Arial" w:hAnsi="Arial" w:cs="Arial"/>
          <w:sz w:val="21"/>
          <w:szCs w:val="21"/>
        </w:rPr>
      </w:pPr>
      <w:r w:rsidRPr="00B74E0E">
        <w:rPr>
          <w:rFonts w:ascii="Arial" w:hAnsi="Arial" w:cs="Arial"/>
          <w:sz w:val="21"/>
          <w:szCs w:val="21"/>
        </w:rPr>
        <w:t xml:space="preserve">In der </w:t>
      </w:r>
      <w:proofErr w:type="spellStart"/>
      <w:r w:rsidRPr="00B74E0E">
        <w:rPr>
          <w:rFonts w:ascii="Arial" w:hAnsi="Arial" w:cs="Arial"/>
          <w:sz w:val="21"/>
          <w:szCs w:val="21"/>
        </w:rPr>
        <w:t>Instanzrechtsprechung</w:t>
      </w:r>
      <w:proofErr w:type="spellEnd"/>
      <w:r w:rsidRPr="00B74E0E">
        <w:rPr>
          <w:rFonts w:ascii="Arial" w:hAnsi="Arial" w:cs="Arial"/>
          <w:sz w:val="21"/>
          <w:szCs w:val="21"/>
        </w:rPr>
        <w:t xml:space="preserve"> wird die BGH-Entscheidung ebenfalls richtig verstanden.</w:t>
      </w:r>
    </w:p>
    <w:p w14:paraId="409A2C66" w14:textId="77777777" w:rsidR="00D1123D" w:rsidRDefault="00D1123D" w:rsidP="00D1123D">
      <w:pPr>
        <w:spacing w:after="0" w:line="240" w:lineRule="auto"/>
        <w:ind w:right="1701"/>
        <w:jc w:val="both"/>
        <w:rPr>
          <w:rFonts w:ascii="Arial" w:hAnsi="Arial" w:cs="Arial"/>
          <w:sz w:val="21"/>
          <w:szCs w:val="21"/>
        </w:rPr>
      </w:pPr>
    </w:p>
    <w:p w14:paraId="75A619DF" w14:textId="77777777" w:rsidR="00D1123D" w:rsidRPr="00D43C47" w:rsidRDefault="00D1123D" w:rsidP="00D1123D">
      <w:pPr>
        <w:spacing w:after="0" w:line="240" w:lineRule="auto"/>
        <w:ind w:right="1701"/>
        <w:jc w:val="both"/>
        <w:rPr>
          <w:rFonts w:ascii="Arial" w:hAnsi="Arial" w:cs="Arial"/>
          <w:sz w:val="21"/>
          <w:szCs w:val="21"/>
        </w:rPr>
      </w:pPr>
      <w:r w:rsidRPr="00E33DCD">
        <w:rPr>
          <w:rFonts w:ascii="Arial" w:hAnsi="Arial" w:cs="Arial"/>
          <w:sz w:val="21"/>
          <w:szCs w:val="21"/>
        </w:rPr>
        <w:t>Eine Berufungskammer des LG Stuttgart sieht ausweislich des Protokolls zum Urteil die Ausführungen des BGH als völlig eindeutig und unmissverständlich an und spricht unter Abänderung des erstinstanzlichen Urteils die Nutzungsausfallentschädigung zu (LG Stuttgart, Urteil und Protokoll vom 25.03.2021, Az. 5 S 188/20, IWW-Abruf-Nr.</w:t>
      </w:r>
      <w:r w:rsidRPr="00513DC3">
        <w:rPr>
          <w:rFonts w:ascii="Arial" w:hAnsi="Arial" w:cs="Arial"/>
          <w:color w:val="FF0000"/>
          <w:sz w:val="21"/>
          <w:szCs w:val="21"/>
        </w:rPr>
        <w:t xml:space="preserve"> </w:t>
      </w:r>
      <w:hyperlink r:id="rId8" w:tgtFrame="_blank" w:history="1">
        <w:r w:rsidRPr="00513DC3">
          <w:rPr>
            <w:rStyle w:val="Hyperlink"/>
            <w:rFonts w:ascii="Arial" w:eastAsiaTheme="majorEastAsia" w:hAnsi="Arial" w:cs="Arial"/>
            <w:sz w:val="21"/>
            <w:szCs w:val="21"/>
          </w:rPr>
          <w:t>221586</w:t>
        </w:r>
      </w:hyperlink>
      <w:r w:rsidRPr="00E33DCD">
        <w:rPr>
          <w:rFonts w:ascii="Arial" w:hAnsi="Arial" w:cs="Arial"/>
          <w:sz w:val="21"/>
          <w:szCs w:val="21"/>
        </w:rPr>
        <w:t>).</w:t>
      </w:r>
    </w:p>
    <w:p w14:paraId="003B7188" w14:textId="77777777" w:rsidR="00D1123D" w:rsidRDefault="00D1123D" w:rsidP="00D1123D">
      <w:pPr>
        <w:spacing w:after="0" w:line="240" w:lineRule="auto"/>
        <w:ind w:right="1701"/>
        <w:jc w:val="both"/>
        <w:rPr>
          <w:rFonts w:ascii="Arial" w:hAnsi="Arial" w:cs="Arial"/>
          <w:sz w:val="21"/>
          <w:szCs w:val="21"/>
        </w:rPr>
      </w:pPr>
    </w:p>
    <w:p w14:paraId="037F2914" w14:textId="77777777" w:rsidR="00D1123D" w:rsidRPr="008F2F3B" w:rsidRDefault="00D1123D" w:rsidP="00D1123D">
      <w:pPr>
        <w:spacing w:after="0" w:line="240" w:lineRule="auto"/>
        <w:ind w:right="1701"/>
        <w:jc w:val="both"/>
        <w:rPr>
          <w:rFonts w:ascii="Arial" w:hAnsi="Arial" w:cs="Arial"/>
          <w:sz w:val="21"/>
          <w:szCs w:val="21"/>
        </w:rPr>
      </w:pPr>
      <w:r w:rsidRPr="00220FC9">
        <w:rPr>
          <w:rFonts w:ascii="Arial" w:hAnsi="Arial" w:cs="Arial"/>
          <w:sz w:val="21"/>
          <w:szCs w:val="21"/>
        </w:rPr>
        <w:t>Auch das LG Augsburg sieht das jedenfalls für die Fallgruppe so, bei der die Nutzungsausfallentschädigung den vom Autovermieter berechneten Betrag nicht übersteigt (LG Augsburg, Hinweisbeschluss vom 25.07.2024, Az. 074 S 4710/23, IWW- Abruf-Nr.</w:t>
      </w:r>
      <w:r w:rsidRPr="00D9197F">
        <w:rPr>
          <w:rFonts w:ascii="Arial" w:hAnsi="Arial" w:cs="Arial"/>
          <w:sz w:val="21"/>
          <w:szCs w:val="21"/>
        </w:rPr>
        <w:t xml:space="preserve"> </w:t>
      </w:r>
      <w:hyperlink r:id="rId9" w:history="1">
        <w:r w:rsidRPr="00220FC9">
          <w:rPr>
            <w:rStyle w:val="Hyperlink"/>
            <w:rFonts w:ascii="Arial" w:hAnsi="Arial" w:cs="Arial"/>
            <w:sz w:val="21"/>
            <w:szCs w:val="21"/>
          </w:rPr>
          <w:t>243032</w:t>
        </w:r>
      </w:hyperlink>
      <w:r w:rsidRPr="008F2F3B">
        <w:rPr>
          <w:rFonts w:ascii="Arial" w:hAnsi="Arial" w:cs="Arial"/>
          <w:sz w:val="21"/>
          <w:szCs w:val="21"/>
        </w:rPr>
        <w:t>).</w:t>
      </w:r>
    </w:p>
    <w:p w14:paraId="4057A05C" w14:textId="77777777" w:rsidR="00D1123D" w:rsidRDefault="00D1123D" w:rsidP="00D1123D">
      <w:pPr>
        <w:spacing w:after="0" w:line="240" w:lineRule="auto"/>
        <w:ind w:right="1701"/>
        <w:jc w:val="both"/>
        <w:rPr>
          <w:rFonts w:ascii="Arial" w:hAnsi="Arial" w:cs="Arial"/>
          <w:sz w:val="21"/>
          <w:szCs w:val="21"/>
        </w:rPr>
      </w:pPr>
    </w:p>
    <w:p w14:paraId="7CAFC531" w14:textId="77777777" w:rsidR="00D1123D" w:rsidRDefault="00D1123D" w:rsidP="00D1123D">
      <w:pPr>
        <w:spacing w:after="0" w:line="240" w:lineRule="auto"/>
        <w:ind w:right="1701"/>
        <w:jc w:val="both"/>
        <w:rPr>
          <w:rFonts w:ascii="Arial" w:hAnsi="Arial" w:cs="Arial"/>
          <w:sz w:val="21"/>
          <w:szCs w:val="21"/>
        </w:rPr>
      </w:pPr>
      <w:r w:rsidRPr="00B74E0E">
        <w:rPr>
          <w:rFonts w:ascii="Arial" w:hAnsi="Arial" w:cs="Arial"/>
          <w:sz w:val="21"/>
          <w:szCs w:val="21"/>
        </w:rPr>
        <w:t xml:space="preserve">Exemplarisch kann </w:t>
      </w:r>
      <w:r w:rsidRPr="0063465E">
        <w:rPr>
          <w:rFonts w:ascii="Arial" w:hAnsi="Arial" w:cs="Arial"/>
          <w:sz w:val="21"/>
          <w:szCs w:val="21"/>
        </w:rPr>
        <w:t>auch</w:t>
      </w:r>
      <w:r>
        <w:rPr>
          <w:rFonts w:ascii="Arial" w:hAnsi="Arial" w:cs="Arial"/>
          <w:sz w:val="21"/>
          <w:szCs w:val="21"/>
        </w:rPr>
        <w:t xml:space="preserve"> </w:t>
      </w:r>
      <w:r w:rsidRPr="00B74E0E">
        <w:rPr>
          <w:rFonts w:ascii="Arial" w:hAnsi="Arial" w:cs="Arial"/>
          <w:sz w:val="21"/>
          <w:szCs w:val="21"/>
        </w:rPr>
        <w:t xml:space="preserve">die Entscheidung des AG Ettlingen vom 16.10.2018, Az. 6 C 63/17, IWW-Abruf-Nr. </w:t>
      </w:r>
      <w:hyperlink r:id="rId10" w:tgtFrame="_blank" w:history="1">
        <w:r w:rsidRPr="00B74E0E">
          <w:rPr>
            <w:rStyle w:val="Hyperlink"/>
            <w:rFonts w:ascii="Arial" w:hAnsi="Arial" w:cs="Arial"/>
            <w:sz w:val="21"/>
            <w:szCs w:val="21"/>
          </w:rPr>
          <w:t>205214</w:t>
        </w:r>
      </w:hyperlink>
      <w:r w:rsidRPr="00B74E0E">
        <w:rPr>
          <w:rFonts w:ascii="Arial" w:hAnsi="Arial" w:cs="Arial"/>
          <w:sz w:val="21"/>
          <w:szCs w:val="21"/>
        </w:rPr>
        <w:t xml:space="preserve"> genannt werden. Diese spricht den Anspruch auf Nutzungsausfallentschädigung zu und bezieht sich neben einem Urteil des OLG Saarbrücken vom 01.06.2017, Az. 4 U 33/16, IWW-Abruf-Nr. </w:t>
      </w:r>
      <w:hyperlink r:id="rId11" w:tgtFrame="_blank" w:history="1">
        <w:r w:rsidRPr="00B74E0E">
          <w:rPr>
            <w:rStyle w:val="Hyperlink"/>
            <w:rFonts w:ascii="Arial" w:hAnsi="Arial" w:cs="Arial"/>
            <w:sz w:val="21"/>
            <w:szCs w:val="21"/>
          </w:rPr>
          <w:t>197401</w:t>
        </w:r>
      </w:hyperlink>
      <w:r w:rsidRPr="00B74E0E">
        <w:rPr>
          <w:rFonts w:ascii="Arial" w:hAnsi="Arial" w:cs="Arial"/>
          <w:sz w:val="21"/>
          <w:szCs w:val="21"/>
        </w:rPr>
        <w:t xml:space="preserve"> auf die oben zitierte BGH-Entscheidung.</w:t>
      </w:r>
    </w:p>
    <w:p w14:paraId="7E2CE5B4" w14:textId="77777777" w:rsidR="00D1123D" w:rsidRDefault="00D1123D" w:rsidP="00D1123D">
      <w:pPr>
        <w:spacing w:after="0" w:line="240" w:lineRule="auto"/>
        <w:ind w:right="1701"/>
        <w:jc w:val="both"/>
        <w:rPr>
          <w:rFonts w:ascii="Arial" w:hAnsi="Arial" w:cs="Arial"/>
          <w:sz w:val="21"/>
          <w:szCs w:val="21"/>
        </w:rPr>
      </w:pPr>
    </w:p>
    <w:p w14:paraId="1B7522CE" w14:textId="77777777" w:rsidR="00D1123D" w:rsidRPr="003A36B9" w:rsidRDefault="00D1123D" w:rsidP="00D1123D">
      <w:pPr>
        <w:spacing w:after="0" w:line="240" w:lineRule="auto"/>
        <w:ind w:right="1701"/>
        <w:jc w:val="both"/>
        <w:rPr>
          <w:rFonts w:ascii="Arial" w:hAnsi="Arial" w:cs="Arial"/>
          <w:sz w:val="21"/>
          <w:szCs w:val="21"/>
        </w:rPr>
      </w:pPr>
      <w:r w:rsidRPr="00282C78">
        <w:rPr>
          <w:rFonts w:ascii="Arial" w:hAnsi="Arial" w:cs="Arial"/>
          <w:sz w:val="21"/>
          <w:szCs w:val="21"/>
        </w:rPr>
        <w:lastRenderedPageBreak/>
        <w:t>Das Urteil hat einen Schönheitsfehler, weil das Gericht mehrfach die Begriffe „Nutzungsausfallschaden“ als Oberbegriff und „Nutzungsausfallentschädigung“ als eine Variante des Nutzungsausfallschadens (neben der Mietwagenkostenerstattung, den Vorhaltekosten oder dem entgangenen Gewinn) verwechselt. Das wir</w:t>
      </w:r>
      <w:r>
        <w:rPr>
          <w:rFonts w:ascii="Arial" w:hAnsi="Arial" w:cs="Arial"/>
          <w:sz w:val="21"/>
          <w:szCs w:val="21"/>
        </w:rPr>
        <w:t>d</w:t>
      </w:r>
      <w:r w:rsidRPr="00282C78">
        <w:rPr>
          <w:rFonts w:ascii="Arial" w:hAnsi="Arial" w:cs="Arial"/>
          <w:sz w:val="21"/>
          <w:szCs w:val="21"/>
        </w:rPr>
        <w:t xml:space="preserve"> beim </w:t>
      </w:r>
      <w:r w:rsidRPr="003A36B9">
        <w:rPr>
          <w:rFonts w:ascii="Arial" w:hAnsi="Arial" w:cs="Arial"/>
          <w:sz w:val="21"/>
          <w:szCs w:val="21"/>
        </w:rPr>
        <w:t>Lesen allerdings leicht nachvollzogen werden können.</w:t>
      </w:r>
    </w:p>
    <w:p w14:paraId="77C4E86A" w14:textId="77777777" w:rsidR="00D1123D" w:rsidRPr="003A36B9" w:rsidRDefault="00D1123D" w:rsidP="00D1123D">
      <w:pPr>
        <w:spacing w:after="0" w:line="240" w:lineRule="auto"/>
        <w:ind w:right="1701"/>
        <w:jc w:val="both"/>
        <w:rPr>
          <w:rFonts w:ascii="Arial" w:hAnsi="Arial" w:cs="Arial"/>
          <w:sz w:val="21"/>
          <w:szCs w:val="21"/>
        </w:rPr>
      </w:pPr>
    </w:p>
    <w:p w14:paraId="58151175" w14:textId="77777777" w:rsidR="00D1123D" w:rsidRPr="003A36B9" w:rsidRDefault="00D1123D" w:rsidP="00D1123D">
      <w:pPr>
        <w:jc w:val="both"/>
        <w:rPr>
          <w:rFonts w:ascii="Arial" w:hAnsi="Arial" w:cs="Arial"/>
          <w:sz w:val="21"/>
          <w:szCs w:val="21"/>
          <w:lang w:eastAsia="de-DE"/>
        </w:rPr>
      </w:pPr>
      <w:r w:rsidRPr="003A36B9">
        <w:rPr>
          <w:rFonts w:ascii="Arial" w:hAnsi="Arial" w:cs="Arial"/>
          <w:sz w:val="21"/>
          <w:szCs w:val="21"/>
        </w:rPr>
        <w:t xml:space="preserve">Ebenso entschieden das AG München mit Urteil vom 28.05.2019 (Az. 322 C 22766/18, IWW-Abruf-Nr. </w:t>
      </w:r>
      <w:hyperlink r:id="rId12" w:tgtFrame="_blank" w:history="1">
        <w:r w:rsidRPr="003A36B9">
          <w:rPr>
            <w:rStyle w:val="Hyperlink"/>
            <w:rFonts w:ascii="Arial" w:hAnsi="Arial" w:cs="Arial"/>
            <w:color w:val="auto"/>
            <w:sz w:val="21"/>
            <w:szCs w:val="21"/>
          </w:rPr>
          <w:t>209749</w:t>
        </w:r>
      </w:hyperlink>
      <w:r w:rsidRPr="003A36B9">
        <w:rPr>
          <w:rFonts w:ascii="Arial" w:hAnsi="Arial" w:cs="Arial"/>
          <w:sz w:val="21"/>
          <w:szCs w:val="21"/>
        </w:rPr>
        <w:t xml:space="preserve"> sowie das AG Baden-Baden, Urteil vom 31.07.2020, Az. 7 C 392/19, IWW-Abruf-Nr. </w:t>
      </w:r>
      <w:hyperlink r:id="rId13" w:history="1">
        <w:r w:rsidRPr="003A36B9">
          <w:rPr>
            <w:rStyle w:val="Hyperlink"/>
            <w:rFonts w:ascii="Arial" w:hAnsi="Arial" w:cs="Arial"/>
            <w:color w:val="auto"/>
            <w:sz w:val="21"/>
            <w:szCs w:val="21"/>
          </w:rPr>
          <w:t>217804</w:t>
        </w:r>
      </w:hyperlink>
      <w:r w:rsidRPr="003A36B9">
        <w:rPr>
          <w:rFonts w:ascii="Arial" w:hAnsi="Arial" w:cs="Arial"/>
          <w:sz w:val="21"/>
          <w:szCs w:val="21"/>
        </w:rPr>
        <w:t xml:space="preserve">, das AG Schwelm, Urteil vom 10.12.2020, Az. 25 C 104//20, IWW Abruf-Nr. </w:t>
      </w:r>
      <w:hyperlink r:id="rId14" w:tgtFrame="_blank" w:history="1">
        <w:r w:rsidRPr="003A36B9">
          <w:rPr>
            <w:rStyle w:val="Hyperlink"/>
            <w:rFonts w:ascii="Arial" w:hAnsi="Arial" w:cs="Arial"/>
            <w:color w:val="auto"/>
            <w:sz w:val="21"/>
            <w:szCs w:val="21"/>
          </w:rPr>
          <w:t>219598</w:t>
        </w:r>
      </w:hyperlink>
      <w:r w:rsidRPr="003A36B9">
        <w:rPr>
          <w:rFonts w:ascii="Arial" w:hAnsi="Arial" w:cs="Arial"/>
          <w:sz w:val="21"/>
          <w:szCs w:val="21"/>
        </w:rPr>
        <w:t xml:space="preserve"> und das AG Kempten (Allgäu), Urteil vom 09.02.2021, Az. 3 C 885/20, IWW-Abruf-Nr. </w:t>
      </w:r>
      <w:hyperlink r:id="rId15" w:tgtFrame="_blank" w:history="1">
        <w:r w:rsidRPr="003A36B9">
          <w:rPr>
            <w:rStyle w:val="Hyperlink"/>
            <w:rFonts w:ascii="Arial" w:hAnsi="Arial" w:cs="Arial"/>
            <w:color w:val="auto"/>
            <w:sz w:val="21"/>
            <w:szCs w:val="21"/>
          </w:rPr>
          <w:t>220683</w:t>
        </w:r>
      </w:hyperlink>
      <w:r w:rsidRPr="003A36B9">
        <w:rPr>
          <w:rFonts w:ascii="Arial" w:hAnsi="Arial" w:cs="Arial"/>
          <w:sz w:val="21"/>
          <w:szCs w:val="21"/>
        </w:rPr>
        <w:t xml:space="preserve"> und AG Rastatt, Urteil vom 27.07.2021, Az. 1 C 102/21, IWW-Abruf-Nr. 225149</w:t>
      </w:r>
      <w:r>
        <w:t>.</w:t>
      </w:r>
    </w:p>
    <w:p w14:paraId="3EA49FC6" w14:textId="77777777" w:rsidR="00D1123D" w:rsidRDefault="00D1123D" w:rsidP="00D1123D">
      <w:pPr>
        <w:pStyle w:val="A-Grundtext"/>
      </w:pPr>
    </w:p>
    <w:p w14:paraId="4C92367C" w14:textId="77777777" w:rsidR="00D1123D" w:rsidRDefault="00D1123D" w:rsidP="00D1123D">
      <w:pPr>
        <w:pStyle w:val="A-Grundtext"/>
      </w:pPr>
    </w:p>
    <w:p w14:paraId="20411ECC" w14:textId="77777777" w:rsidR="00D1123D" w:rsidRPr="000B1F5F" w:rsidRDefault="00D1123D" w:rsidP="00D1123D">
      <w:pPr>
        <w:spacing w:after="0" w:line="240" w:lineRule="auto"/>
        <w:ind w:right="1701"/>
        <w:jc w:val="both"/>
        <w:rPr>
          <w:rFonts w:ascii="Arial" w:hAnsi="Arial" w:cs="Arial"/>
          <w:sz w:val="21"/>
          <w:szCs w:val="21"/>
        </w:rPr>
      </w:pPr>
      <w:r w:rsidRPr="00E33DCD">
        <w:rPr>
          <w:rFonts w:ascii="Arial" w:hAnsi="Arial" w:cs="Arial"/>
          <w:sz w:val="21"/>
          <w:szCs w:val="21"/>
        </w:rPr>
        <w:t xml:space="preserve">Eine Berufungskammer des LG Stuttgart sieht ausweislich des Protokolls zum Urteil die Ausführungen des BGH als völlig eindeutig und unmissverständlich an und spricht unter Abänderung des erstinstanzlichen Urteils die Nutzungsausfallentschädigung zu (LG Stuttgart, Urteil und Protokoll vom 25.03.2021, Az. 5 S </w:t>
      </w:r>
      <w:r w:rsidRPr="000B1F5F">
        <w:rPr>
          <w:rFonts w:ascii="Arial" w:hAnsi="Arial" w:cs="Arial"/>
          <w:sz w:val="21"/>
          <w:szCs w:val="21"/>
        </w:rPr>
        <w:t xml:space="preserve">188/20, IWW-Abruf-Nr. </w:t>
      </w:r>
      <w:hyperlink r:id="rId16" w:tgtFrame="_blank" w:history="1">
        <w:r w:rsidRPr="000B1F5F">
          <w:rPr>
            <w:rStyle w:val="Hyperlink"/>
            <w:rFonts w:ascii="Arial" w:eastAsiaTheme="majorEastAsia" w:hAnsi="Arial" w:cs="Arial"/>
            <w:color w:val="auto"/>
            <w:sz w:val="21"/>
            <w:szCs w:val="21"/>
          </w:rPr>
          <w:t>221586</w:t>
        </w:r>
      </w:hyperlink>
      <w:r w:rsidRPr="000B1F5F">
        <w:rPr>
          <w:rFonts w:ascii="Arial" w:hAnsi="Arial" w:cs="Arial"/>
          <w:sz w:val="21"/>
          <w:szCs w:val="21"/>
        </w:rPr>
        <w:t>).</w:t>
      </w:r>
    </w:p>
    <w:p w14:paraId="7D473339" w14:textId="77777777" w:rsidR="00D1123D" w:rsidRPr="000B1F5F" w:rsidRDefault="00D1123D" w:rsidP="00D1123D">
      <w:pPr>
        <w:spacing w:after="0" w:line="240" w:lineRule="auto"/>
        <w:ind w:right="1701"/>
        <w:jc w:val="both"/>
        <w:rPr>
          <w:rFonts w:ascii="Arial" w:hAnsi="Arial" w:cs="Arial"/>
          <w:sz w:val="21"/>
          <w:szCs w:val="21"/>
        </w:rPr>
      </w:pPr>
    </w:p>
    <w:p w14:paraId="2F851DF9" w14:textId="77777777" w:rsidR="00D1123D" w:rsidRPr="000B1F5F" w:rsidRDefault="00D1123D" w:rsidP="00D1123D">
      <w:pPr>
        <w:spacing w:after="0" w:line="240" w:lineRule="auto"/>
        <w:ind w:right="1701"/>
        <w:jc w:val="both"/>
        <w:rPr>
          <w:rFonts w:ascii="Arial" w:hAnsi="Arial" w:cs="Arial"/>
          <w:sz w:val="21"/>
          <w:szCs w:val="21"/>
        </w:rPr>
      </w:pPr>
      <w:r w:rsidRPr="000B1F5F">
        <w:rPr>
          <w:rFonts w:ascii="Arial" w:hAnsi="Arial" w:cs="Arial"/>
          <w:sz w:val="21"/>
          <w:szCs w:val="21"/>
        </w:rPr>
        <w:t>Auch das LG Augsburg sieht das jedenfalls für die Fallgruppe so, bei der die Nutzungsausfallentschädigung den vom Autovermieter berechneten Betrag nicht übersteigt (LG Augsburg, Hinweisbeschluss vom 25.07.2024, Az. 074 S 4710/23, IWW- Abruf-Nr. 243032).</w:t>
      </w:r>
    </w:p>
    <w:p w14:paraId="20DBB47F" w14:textId="77777777" w:rsidR="00D1123D" w:rsidRPr="000B1F5F" w:rsidRDefault="00D1123D" w:rsidP="00D1123D">
      <w:pPr>
        <w:spacing w:after="0" w:line="240" w:lineRule="auto"/>
        <w:ind w:right="1701"/>
        <w:jc w:val="both"/>
        <w:rPr>
          <w:rFonts w:ascii="Arial" w:hAnsi="Arial" w:cs="Arial"/>
          <w:sz w:val="21"/>
          <w:szCs w:val="21"/>
        </w:rPr>
      </w:pPr>
    </w:p>
    <w:p w14:paraId="1DD461B2" w14:textId="4CA34737" w:rsidR="00AE07BD" w:rsidRPr="00D1123D" w:rsidRDefault="00D1123D" w:rsidP="00D1123D">
      <w:pPr>
        <w:spacing w:after="0" w:line="240" w:lineRule="auto"/>
        <w:ind w:right="1701"/>
        <w:jc w:val="both"/>
        <w:rPr>
          <w:rFonts w:ascii="Arial" w:hAnsi="Arial" w:cs="Arial"/>
          <w:sz w:val="21"/>
          <w:szCs w:val="21"/>
        </w:rPr>
      </w:pPr>
      <w:r w:rsidRPr="000B1F5F">
        <w:rPr>
          <w:rFonts w:ascii="Arial" w:hAnsi="Arial" w:cs="Arial"/>
          <w:sz w:val="21"/>
          <w:szCs w:val="21"/>
        </w:rPr>
        <w:t>Exemplarisch kann auch die Entscheidung des AG Ettlingen vom 16.10.2018, Az. 6 C 63/17, IWW-Abruf</w:t>
      </w:r>
      <w:r w:rsidRPr="00B74E0E">
        <w:rPr>
          <w:rFonts w:ascii="Arial" w:hAnsi="Arial" w:cs="Arial"/>
          <w:sz w:val="21"/>
          <w:szCs w:val="21"/>
        </w:rPr>
        <w:t xml:space="preserve">-Nr. </w:t>
      </w:r>
      <w:hyperlink r:id="rId17" w:tgtFrame="_blank" w:history="1">
        <w:r w:rsidRPr="00B74E0E">
          <w:rPr>
            <w:rStyle w:val="Hyperlink"/>
            <w:rFonts w:ascii="Arial" w:hAnsi="Arial" w:cs="Arial"/>
            <w:sz w:val="21"/>
            <w:szCs w:val="21"/>
          </w:rPr>
          <w:t>205214</w:t>
        </w:r>
      </w:hyperlink>
      <w:r w:rsidRPr="00B74E0E">
        <w:rPr>
          <w:rFonts w:ascii="Arial" w:hAnsi="Arial" w:cs="Arial"/>
          <w:sz w:val="21"/>
          <w:szCs w:val="21"/>
        </w:rPr>
        <w:t xml:space="preserve"> genannt werden. Diese spricht den Anspruch auf Nutzungsausfallentschädigung zu und bezieht sich neben einem Urteil des OLG Saarbrücken vom 01.06.2017, Az. 4 U 33/16, IWW-Abruf-Nr. </w:t>
      </w:r>
      <w:hyperlink r:id="rId18" w:tgtFrame="_blank" w:history="1">
        <w:r w:rsidRPr="00B74E0E">
          <w:rPr>
            <w:rStyle w:val="Hyperlink"/>
            <w:rFonts w:ascii="Arial" w:hAnsi="Arial" w:cs="Arial"/>
            <w:sz w:val="21"/>
            <w:szCs w:val="21"/>
          </w:rPr>
          <w:t>197401</w:t>
        </w:r>
      </w:hyperlink>
      <w:r w:rsidRPr="00B74E0E">
        <w:rPr>
          <w:rFonts w:ascii="Arial" w:hAnsi="Arial" w:cs="Arial"/>
          <w:sz w:val="21"/>
          <w:szCs w:val="21"/>
        </w:rPr>
        <w:t xml:space="preserve"> auf die oben zitierte BGH-Entscheidung.</w:t>
      </w: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19"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20"/>
      <w:footerReference w:type="default" r:id="rId21"/>
      <w:headerReference w:type="first" r:id="rId22"/>
      <w:footerReference w:type="first" r:id="rId23"/>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15A4" w14:textId="77777777" w:rsidR="001B2FCE" w:rsidRDefault="001B2FCE" w:rsidP="00B2150E">
      <w:pPr>
        <w:spacing w:after="0" w:line="240" w:lineRule="auto"/>
      </w:pPr>
      <w:r>
        <w:separator/>
      </w:r>
    </w:p>
  </w:endnote>
  <w:endnote w:type="continuationSeparator" w:id="0">
    <w:p w14:paraId="680048EA" w14:textId="77777777" w:rsidR="001B2FCE" w:rsidRDefault="001B2FCE"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altName w:val="Calibri"/>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398BE935"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D1123D" w:rsidRPr="00D1123D">
      <w:rPr>
        <w:rFonts w:ascii="Arial" w:hAnsi="Arial" w:cs="Arial"/>
        <w:sz w:val="16"/>
        <w:szCs w:val="16"/>
      </w:rPr>
      <w:t>50388598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207A" w14:textId="77777777" w:rsidR="001B2FCE" w:rsidRDefault="001B2FCE" w:rsidP="00B2150E">
      <w:pPr>
        <w:spacing w:after="0" w:line="240" w:lineRule="auto"/>
      </w:pPr>
      <w:r>
        <w:separator/>
      </w:r>
    </w:p>
  </w:footnote>
  <w:footnote w:type="continuationSeparator" w:id="0">
    <w:p w14:paraId="24FAAA90" w14:textId="77777777" w:rsidR="001B2FCE" w:rsidRDefault="001B2FCE"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761B8"/>
    <w:rsid w:val="000A1660"/>
    <w:rsid w:val="000B07BE"/>
    <w:rsid w:val="000B1F5F"/>
    <w:rsid w:val="000B778D"/>
    <w:rsid w:val="000C67E6"/>
    <w:rsid w:val="000D00F1"/>
    <w:rsid w:val="000E216C"/>
    <w:rsid w:val="000E3168"/>
    <w:rsid w:val="000E5957"/>
    <w:rsid w:val="00151769"/>
    <w:rsid w:val="00195308"/>
    <w:rsid w:val="001A2C2E"/>
    <w:rsid w:val="001A4CE6"/>
    <w:rsid w:val="001B0D45"/>
    <w:rsid w:val="001B2FCE"/>
    <w:rsid w:val="001B5725"/>
    <w:rsid w:val="001E0C39"/>
    <w:rsid w:val="001E7BC9"/>
    <w:rsid w:val="001F2C8A"/>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4494"/>
    <w:rsid w:val="004C5C22"/>
    <w:rsid w:val="004D2AB7"/>
    <w:rsid w:val="004F4EA0"/>
    <w:rsid w:val="00544206"/>
    <w:rsid w:val="005753C2"/>
    <w:rsid w:val="00593354"/>
    <w:rsid w:val="005B24EC"/>
    <w:rsid w:val="005C53E8"/>
    <w:rsid w:val="00610AFA"/>
    <w:rsid w:val="006333E4"/>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5181D"/>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1123D"/>
    <w:rsid w:val="00D45578"/>
    <w:rsid w:val="00D6407F"/>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335309788">
      <w:bodyDiv w:val="1"/>
      <w:marLeft w:val="0"/>
      <w:marRight w:val="0"/>
      <w:marTop w:val="0"/>
      <w:marBottom w:val="0"/>
      <w:divBdr>
        <w:top w:val="none" w:sz="0" w:space="0" w:color="auto"/>
        <w:left w:val="none" w:sz="0" w:space="0" w:color="auto"/>
        <w:bottom w:val="none" w:sz="0" w:space="0" w:color="auto"/>
        <w:right w:val="none" w:sz="0" w:space="0" w:color="auto"/>
      </w:divBdr>
    </w:div>
    <w:div w:id="364798152">
      <w:bodyDiv w:val="1"/>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w.de/quellenmaterial/id/221586" TargetMode="External"/><Relationship Id="rId13" Type="http://schemas.openxmlformats.org/officeDocument/2006/relationships/hyperlink" Target="https://www.iww.de/quellenmaterial/id/217804" TargetMode="External"/><Relationship Id="rId18" Type="http://schemas.openxmlformats.org/officeDocument/2006/relationships/hyperlink" Target="https://www.iww.de/quellenmaterial/id/19740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iww.de/quellenmaterial/id/91427" TargetMode="External"/><Relationship Id="rId12" Type="http://schemas.openxmlformats.org/officeDocument/2006/relationships/hyperlink" Target="https://www.iww.de/quellenmaterial/id/209749" TargetMode="External"/><Relationship Id="rId17" Type="http://schemas.openxmlformats.org/officeDocument/2006/relationships/hyperlink" Target="https://www.iww.de/quellenmaterial/id/2052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ww.de/quellenmaterial/id/22158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ww.de/quellenmaterial/id/19740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ww.de/quellenmaterial/id/220683" TargetMode="External"/><Relationship Id="rId23" Type="http://schemas.openxmlformats.org/officeDocument/2006/relationships/footer" Target="footer2.xml"/><Relationship Id="rId10" Type="http://schemas.openxmlformats.org/officeDocument/2006/relationships/hyperlink" Target="https://www.iww.de/quellenmaterial/id/205214" TargetMode="External"/><Relationship Id="rId19" Type="http://schemas.openxmlformats.org/officeDocument/2006/relationships/hyperlink" Target="mailto:kontakt@iww.de" TargetMode="External"/><Relationship Id="rId4" Type="http://schemas.openxmlformats.org/officeDocument/2006/relationships/webSettings" Target="webSettings.xml"/><Relationship Id="rId9" Type="http://schemas.openxmlformats.org/officeDocument/2006/relationships/hyperlink" Target="https://www.iww.de/ue/quellenmaterial/id/243032" TargetMode="External"/><Relationship Id="rId14" Type="http://schemas.openxmlformats.org/officeDocument/2006/relationships/hyperlink" Target="https://www.iww.de/quellenmaterial/id/219598"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Christian Stake</cp:lastModifiedBy>
  <cp:revision>11</cp:revision>
  <cp:lastPrinted>2023-12-04T11:30:00Z</cp:lastPrinted>
  <dcterms:created xsi:type="dcterms:W3CDTF">2022-08-04T11:26:00Z</dcterms:created>
  <dcterms:modified xsi:type="dcterms:W3CDTF">2025-04-14T07:26:00Z</dcterms:modified>
</cp:coreProperties>
</file>