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C107" w14:textId="77777777" w:rsidR="000E5EB6" w:rsidRPr="00A033C2" w:rsidRDefault="000E5EB6" w:rsidP="000E5EB6">
      <w:pPr>
        <w:pStyle w:val="A-Dachzeile"/>
        <w:rPr>
          <w:rFonts w:cs="Arial"/>
        </w:rPr>
      </w:pPr>
      <w:r>
        <w:rPr>
          <w:rFonts w:cs="Arial"/>
        </w:rPr>
        <w:t>Download-Dokument | Quelle</w:t>
      </w:r>
      <w:r w:rsidRPr="00A033C2">
        <w:rPr>
          <w:rFonts w:cs="Arial"/>
        </w:rPr>
        <w:t xml:space="preserve">: </w:t>
      </w:r>
      <w:r>
        <w:rPr>
          <w:rFonts w:cs="Arial"/>
        </w:rPr>
        <w:t>VVP</w:t>
      </w:r>
    </w:p>
    <w:p w14:paraId="31DBFBE4" w14:textId="55AC0F07" w:rsidR="000E5EB6" w:rsidRPr="00A033C2" w:rsidRDefault="000E5EB6" w:rsidP="000E5EB6">
      <w:pPr>
        <w:pStyle w:val="A-berschriftgro"/>
        <w:rPr>
          <w:rFonts w:ascii="Arial" w:hAnsi="Arial" w:cs="Arial"/>
        </w:rPr>
      </w:pPr>
      <w:r>
        <w:rPr>
          <w:rFonts w:ascii="Arial" w:hAnsi="Arial" w:cs="Arial"/>
        </w:rPr>
        <w:t>Aufbewahrungsfristen 202</w:t>
      </w:r>
      <w:r w:rsidR="00013182">
        <w:rPr>
          <w:rFonts w:ascii="Arial" w:hAnsi="Arial" w:cs="Arial"/>
        </w:rPr>
        <w:t>5</w:t>
      </w:r>
    </w:p>
    <w:p w14:paraId="5F5B2534" w14:textId="77777777" w:rsidR="000E5EB6" w:rsidRPr="00A033C2" w:rsidRDefault="000E5EB6" w:rsidP="000E5EB6">
      <w:pPr>
        <w:pStyle w:val="A-Grundtext"/>
      </w:pPr>
    </w:p>
    <w:tbl>
      <w:tblPr>
        <w:tblW w:w="963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2268"/>
      </w:tblGrid>
      <w:tr w:rsidR="000E5EB6" w:rsidRPr="005E0E80" w14:paraId="10BB5ECF" w14:textId="77777777" w:rsidTr="00C71557">
        <w:trPr>
          <w:trHeight w:val="547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AF31C1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b/>
                <w:color w:val="000000"/>
              </w:rPr>
            </w:pPr>
            <w:r w:rsidRPr="005E0E80">
              <w:rPr>
                <w:rFonts w:ascii="Arial" w:hAnsi="Arial" w:cs="Arial"/>
                <w:b/>
                <w:color w:val="000000"/>
              </w:rPr>
              <w:t>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14883D" w14:textId="77777777" w:rsidR="000E5EB6" w:rsidRPr="00647B42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b/>
                <w:color w:val="000000"/>
              </w:rPr>
            </w:pPr>
            <w:r w:rsidRPr="00647B42">
              <w:rPr>
                <w:rFonts w:ascii="Arial" w:hAnsi="Arial" w:cs="Arial"/>
                <w:b/>
                <w:color w:val="000000"/>
              </w:rPr>
              <w:t>Vernichten ab dem Jahr … und früher</w:t>
            </w:r>
          </w:p>
        </w:tc>
      </w:tr>
      <w:tr w:rsidR="000E5EB6" w:rsidRPr="005E0E80" w14:paraId="66E82635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30EC15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5E0E80">
              <w:rPr>
                <w:rFonts w:ascii="Arial" w:hAnsi="Arial" w:cs="Arial"/>
                <w:color w:val="000000"/>
              </w:rPr>
              <w:t>brechnungsunterlagen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DDED60" w14:textId="2C3BCAFA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6A843FB1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0EB124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Abtretungserklärungen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AEB5E1" w14:textId="7B3D58DB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0C238579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C6A06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Änderungsnachweise und Arbeitsanweisungen der EDV-Buchführung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CC6AA2" w14:textId="4CA633C1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0E5EB6" w:rsidRPr="005E0E80" w14:paraId="479A81FA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C42469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Aktenvermerke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B5A57E" w14:textId="7DC04688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5FD5FF4A" w14:textId="77777777" w:rsidTr="00C71557">
        <w:trPr>
          <w:trHeight w:val="209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793E4C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Angebote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7A15A" w14:textId="524FBC70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7CE5C594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AFB4FE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Anhang z. Jahresabschluss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F3876" w14:textId="0405AEFA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2013</w:t>
            </w:r>
          </w:p>
        </w:tc>
      </w:tr>
      <w:tr w:rsidR="000E5EB6" w:rsidRPr="005E0E80" w14:paraId="68F2F5E6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D9C03F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Anlagevermögensbücher und -karteien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B0F6A5" w14:textId="1CC6928C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0E5EB6" w:rsidRPr="005E0E80" w14:paraId="0D0D6FA9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D07037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Anträge auf Arbeitnehmersparzulage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6DCAE5" w14:textId="1F03CF73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3E5C6D46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817046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Auftragsbestätigungen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BD0B05" w14:textId="01270A74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221E11A2" w14:textId="77777777" w:rsidTr="00C71557">
        <w:trPr>
          <w:trHeight w:val="206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D8E194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Ausgangsrechnungen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52F215" w14:textId="28FF6572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431EE1AB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72D05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Außendienstabrechnungen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7095C" w14:textId="7B8B3D31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3C398B11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C42F65" w14:textId="77777777" w:rsidR="000E5EB6" w:rsidRPr="005E0E80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5AFA1B" w14:textId="77777777" w:rsidR="000E5EB6" w:rsidRPr="00647B42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0E5EB6" w:rsidRPr="005E0E80" w14:paraId="163B1933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98D9EE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B</w:t>
            </w:r>
            <w:r w:rsidRPr="005E0E80">
              <w:rPr>
                <w:rFonts w:ascii="Arial" w:hAnsi="Arial" w:cs="Arial"/>
                <w:color w:val="000000"/>
              </w:rPr>
              <w:t>ankbelege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ED2F44" w14:textId="51FC40E3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12B03BA2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4276AA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Bankbürgschaften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CF605A" w14:textId="1BF9BCEB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1D69A211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EC6EA7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Bauakten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5DA401" w14:textId="36EF2970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5E07B647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7B28A2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Beitragsabrechnungen der Sozialversicherungsträger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D2D37A" w14:textId="4AA0A52A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3B283E4E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E89C28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Belege, die Buchungsgrundlagen darstellen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BB869E" w14:textId="134DA796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33E6D654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EB0730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Bestellunterlagen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F6F8B" w14:textId="263C295D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113ADA15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B91C26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 xml:space="preserve">Betriebsabrechnungsbögen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79B5A9" w14:textId="48710B28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6AB67C3A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CD0843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Betriebskostenrechnung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C2A165" w14:textId="495F981D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7C8322A1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C8A36B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Betriebsprüfungsberichte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3244B8" w14:textId="6ED61FBE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3042BC4B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D467E2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Bewertungsunterlagen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A22A6E" w14:textId="13F30339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4E35ED5A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3E462B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Bewirtungsunterlagen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68695" w14:textId="6BFA9B9A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49EB6060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DF6CD7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Bilanzen (Jahresbilanzen)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5F3118" w14:textId="19AA1E98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2013</w:t>
            </w:r>
          </w:p>
        </w:tc>
      </w:tr>
      <w:tr w:rsidR="000E5EB6" w:rsidRPr="005E0E80" w14:paraId="4CDB6A34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DD29F9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Bilanzunterlagen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A03342" w14:textId="6005EE7C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2013</w:t>
            </w:r>
          </w:p>
        </w:tc>
      </w:tr>
      <w:tr w:rsidR="000E5EB6" w:rsidRPr="005E0E80" w14:paraId="72C904A4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863737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Bildträger (z.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E0E80">
              <w:rPr>
                <w:rFonts w:ascii="Arial" w:hAnsi="Arial" w:cs="Arial"/>
                <w:color w:val="000000"/>
              </w:rPr>
              <w:t>B. Fotokopien, Mikrofilme)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010927" w14:textId="413C12DD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0A43ED4F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C401F0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Buchungsanweisungen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8B1F7E" w14:textId="387C1BA5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0E5EB6" w:rsidRPr="005E0E80" w14:paraId="65F67DFA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39C94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Buchungsbelege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CAD267" w14:textId="4F225F1D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45C6B24E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4BC161" w14:textId="77777777" w:rsidR="000E5EB6" w:rsidRPr="005E0E80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466CBF" w14:textId="77777777" w:rsidR="000E5EB6" w:rsidRPr="00647B42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0E5EB6" w:rsidRPr="005E0E80" w14:paraId="06D1DDFB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B328C8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C</w:t>
            </w:r>
            <w:r w:rsidRPr="005E0E80">
              <w:rPr>
                <w:rFonts w:ascii="Arial" w:hAnsi="Arial" w:cs="Arial"/>
                <w:color w:val="000000"/>
              </w:rPr>
              <w:t>OM-Verfahren (Computer-Output Microfilm)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3087AD" w14:textId="60535C24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150B354B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3D8967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Courtage-Abrechnungen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CCF622" w14:textId="7915AC00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5A6A9BC3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0847E6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BB3199" w14:textId="77777777" w:rsidR="000E5EB6" w:rsidRPr="00647B42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0E5EB6" w:rsidRPr="005E0E80" w14:paraId="06713596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E6783B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D</w:t>
            </w:r>
            <w:r w:rsidRPr="005E0E80">
              <w:rPr>
                <w:rFonts w:ascii="Arial" w:hAnsi="Arial" w:cs="Arial"/>
                <w:color w:val="000000"/>
              </w:rPr>
              <w:t>arlehensunterlagen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9F5AF5" w14:textId="59ED738B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62E0D5ED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216108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Datensicherungen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9449D2" w14:textId="44041AAC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14113401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7BE0BA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Dauerauftragsunterlagen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693489" w14:textId="3065A90A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616BD825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04C1BC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Debitorenlisten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892C0E" w14:textId="09A042E5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0E5EB6" w:rsidRPr="005E0E80" w14:paraId="2EA9D097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FF317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Depotauszüge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2D5F31" w14:textId="05D08869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0C56719A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4048D" w14:textId="77777777" w:rsidR="000E5EB6" w:rsidRPr="005E0E80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1F6AF0" w14:textId="77777777" w:rsidR="000E5EB6" w:rsidRPr="00647B42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0E5EB6" w:rsidRPr="005E0E80" w14:paraId="77658F81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50D086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E</w:t>
            </w:r>
            <w:r w:rsidRPr="005E0E80">
              <w:rPr>
                <w:rFonts w:ascii="Arial" w:hAnsi="Arial" w:cs="Arial"/>
                <w:color w:val="000000"/>
              </w:rPr>
              <w:t>igenbelege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5C8BA2" w14:textId="28891248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3270B601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3F36E9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Eingangsrechnungen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2A439D" w14:textId="67D06DB9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1D33FDE9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030148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Einheitswertbescheide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54F47B" w14:textId="3677461E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1EDAA34D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A0846C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  <w:spacing w:val="-4"/>
              </w:rPr>
              <w:t>Essensmarkenabrechnungen</w:t>
            </w:r>
            <w:r w:rsidRPr="005E0E80">
              <w:rPr>
                <w:rFonts w:ascii="Arial" w:hAnsi="Arial" w:cs="Arial"/>
                <w:color w:val="000000"/>
                <w:spacing w:val="-4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050697" w14:textId="0CA9B710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397D087A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78FA6" w14:textId="77777777" w:rsidR="000E5EB6" w:rsidRPr="005E0E80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EA281" w14:textId="77777777" w:rsidR="000E5EB6" w:rsidRPr="00647B42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0E5EB6" w:rsidRPr="005E0E80" w14:paraId="36E21682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BB1374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F</w:t>
            </w:r>
            <w:r w:rsidRPr="005E0E80">
              <w:rPr>
                <w:rFonts w:ascii="Arial" w:hAnsi="Arial" w:cs="Arial"/>
                <w:color w:val="000000"/>
              </w:rPr>
              <w:t>ahrtenbücher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E60887" w14:textId="767FCBB4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52A74B40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864F9F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Fahrtkostenerstattungen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A94ACC" w14:textId="3E1F84A0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54E5521F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FEB99A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Finanzberichte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23439B" w14:textId="337B6CA4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051F5FB2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8C4DAB" w14:textId="77777777" w:rsidR="000E5EB6" w:rsidRPr="005E0E80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8C943B" w14:textId="77777777" w:rsidR="000E5EB6" w:rsidRPr="00647B42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0E5EB6" w:rsidRPr="005E0E80" w14:paraId="3E40FB92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A6F55A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G</w:t>
            </w:r>
            <w:r w:rsidRPr="005E0E80">
              <w:rPr>
                <w:rFonts w:ascii="Arial" w:hAnsi="Arial" w:cs="Arial"/>
                <w:color w:val="000000"/>
              </w:rPr>
              <w:t>ehaltslisten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1F2E52" w14:textId="733461A3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79342F98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FFEC93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Geschäftsberichte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23A9C1" w14:textId="0A982938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0E5EB6" w:rsidRPr="005E0E80" w14:paraId="19581EF1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12DC4B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Geschäftsbriefe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9A0FAD" w14:textId="23426E29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749C03A6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7B4C7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Geschenknachweise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CF1D19" w14:textId="0A1CBBC8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68D57308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44E0A8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Gewinn- und Verlustrechnung (Jahresrechnung)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6B4F7F" w14:textId="54109E09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0E5EB6" w:rsidRPr="005E0E80" w14:paraId="6AC088A1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AAE713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Grundbuchauszüge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6FB6B1" w14:textId="7AC0D8A2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43E3AEC4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466AA4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Grundstücksverzeichnis (soweit Inventar)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7613D5" w14:textId="33273137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0E5EB6" w:rsidRPr="005E0E80" w14:paraId="0A75FF97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B46D9F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Gutschriftsanzeigen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DE2D1F" w14:textId="024D9751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1762B2E6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DB0B1C" w14:textId="77777777" w:rsidR="000E5EB6" w:rsidRPr="005E0E80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462769" w14:textId="77777777" w:rsidR="000E5EB6" w:rsidRPr="00647B42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0E5EB6" w:rsidRPr="005E0E80" w14:paraId="6588FA66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75ED88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H</w:t>
            </w:r>
            <w:r w:rsidRPr="005E0E80">
              <w:rPr>
                <w:rFonts w:ascii="Arial" w:hAnsi="Arial" w:cs="Arial"/>
                <w:color w:val="000000"/>
              </w:rPr>
              <w:t>andelsbriefe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65B4B" w14:textId="6719C3DF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60F383D1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FB170F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Handelsbücher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B08BE5" w14:textId="2BA2BADF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0E5EB6" w:rsidRPr="005E0E80" w14:paraId="0A56066D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14C888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Handelsregisterauszüge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5E00EB" w14:textId="50535433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23E2A475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4128EA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Hauptabschlussübersicht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CB5E04" w14:textId="045B442F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0E5EB6" w:rsidRPr="005E0E80" w14:paraId="59988047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CBF0A6" w14:textId="77777777" w:rsidR="000E5EB6" w:rsidRPr="005E0E80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DBE978" w14:textId="77777777" w:rsidR="000E5EB6" w:rsidRPr="00647B42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0E5EB6" w:rsidRPr="005E0E80" w14:paraId="548BC795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7DFBE9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I</w:t>
            </w:r>
            <w:r w:rsidRPr="005E0E80">
              <w:rPr>
                <w:rFonts w:ascii="Arial" w:hAnsi="Arial" w:cs="Arial"/>
                <w:color w:val="000000"/>
              </w:rPr>
              <w:t>nventuren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35E47F" w14:textId="66C62F42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0E5EB6" w:rsidRPr="005E0E80" w14:paraId="5F2EB922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748B1B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Investitionszulagenbelege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93478" w14:textId="40976BF7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304151F5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812984" w14:textId="77777777" w:rsidR="000E5EB6" w:rsidRPr="005E0E80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227076" w14:textId="77777777" w:rsidR="000E5EB6" w:rsidRPr="00647B42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0E5EB6" w:rsidRPr="005E0E80" w14:paraId="4C655378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F1FDD8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J</w:t>
            </w:r>
            <w:r w:rsidRPr="005E0E80">
              <w:rPr>
                <w:rFonts w:ascii="Arial" w:hAnsi="Arial" w:cs="Arial"/>
                <w:color w:val="000000"/>
              </w:rPr>
              <w:t>ahresabschlusserläuterungen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2)</w:t>
            </w:r>
            <w:r w:rsidRPr="005E0E8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A41924" w14:textId="78B01A19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2013</w:t>
            </w:r>
          </w:p>
        </w:tc>
      </w:tr>
      <w:tr w:rsidR="000E5EB6" w:rsidRPr="005E0E80" w14:paraId="189E95FA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3FF0D1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Journale für Hauptbuch und Kontokorrent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6740B" w14:textId="672F238F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0E5EB6" w:rsidRPr="005E0E80" w14:paraId="7081A944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EC5258" w14:textId="66203291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1FA821" w14:textId="77777777" w:rsidR="000E5EB6" w:rsidRPr="00647B42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0E5EB6" w:rsidRPr="005E0E80" w14:paraId="301363BD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478726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K</w:t>
            </w:r>
            <w:r w:rsidRPr="005E0E80">
              <w:rPr>
                <w:rFonts w:ascii="Arial" w:hAnsi="Arial" w:cs="Arial"/>
                <w:color w:val="000000"/>
              </w:rPr>
              <w:t>alkulationsunterlagen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188783" w14:textId="37FBA9B4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0539BE06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E61782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Kassenberichte, -bücher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20CBDE" w14:textId="7ED970D2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0E5EB6" w:rsidRPr="005E0E80" w14:paraId="2852FF12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3B8C67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Kassenzettel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6114F" w14:textId="4D969788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16ED30DF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101F0C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Kontenpläne und Kontenplanänderungen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83CA1A" w14:textId="740DD9C6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0E5EB6" w:rsidRPr="005E0E80" w14:paraId="02427E19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78A45E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Kontenregister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467D52" w14:textId="0CF29554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0E5EB6" w:rsidRPr="005E0E80" w14:paraId="54361269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EC2740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Kontoauszüge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AA9580" w14:textId="269C80D2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01052442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6D27DA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Kreditunterlagen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9EAAA4" w14:textId="6523426C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16191DF2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CA0D0" w14:textId="77777777" w:rsidR="000E5EB6" w:rsidRPr="005E0E80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C2252E" w14:textId="77777777" w:rsidR="000E5EB6" w:rsidRPr="00647B42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0E5EB6" w:rsidRPr="005E0E80" w14:paraId="37FAB1B4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9E8449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L</w:t>
            </w:r>
            <w:r w:rsidRPr="005E0E80">
              <w:rPr>
                <w:rFonts w:ascii="Arial" w:hAnsi="Arial" w:cs="Arial"/>
                <w:color w:val="000000"/>
              </w:rPr>
              <w:t>ageberichte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45C746" w14:textId="1614E541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2013</w:t>
            </w:r>
          </w:p>
        </w:tc>
      </w:tr>
      <w:tr w:rsidR="000E5EB6" w:rsidRPr="005E0E80" w14:paraId="5F1FD8B7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802819" w14:textId="77777777" w:rsidR="000E5EB6" w:rsidRPr="00357282" w:rsidRDefault="000E5EB6" w:rsidP="00C71557">
            <w:pPr>
              <w:pStyle w:val="tg0TbGrundtextTabellenformate"/>
              <w:rPr>
                <w:rFonts w:ascii="Arial" w:eastAsiaTheme="majorEastAsia" w:hAnsi="Arial" w:cs="Arial"/>
                <w:spacing w:val="-2"/>
                <w:sz w:val="22"/>
                <w:szCs w:val="22"/>
                <w:vertAlign w:val="superscript"/>
              </w:rPr>
            </w:pPr>
            <w:r w:rsidRPr="00357282">
              <w:rPr>
                <w:rFonts w:ascii="Arial" w:hAnsi="Arial" w:cs="Arial"/>
                <w:spacing w:val="-2"/>
                <w:sz w:val="22"/>
                <w:szCs w:val="22"/>
              </w:rPr>
              <w:t>Lieferscheine (Buchungsbeleg)</w:t>
            </w:r>
            <w:r w:rsidRPr="00357282">
              <w:rPr>
                <w:rStyle w:val="hochgestellt"/>
                <w:rFonts w:ascii="Arial" w:eastAsiaTheme="majorEastAsia" w:hAnsi="Arial" w:cs="Arial"/>
                <w:spacing w:val="-2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F1B86" w14:textId="770C4B83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783D6495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C9DA31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Lohnbelege (nach HGB)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C4715A" w14:textId="4F7017CD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493A981D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488EA1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Lohnkonten und dort aufzubew</w:t>
            </w:r>
            <w:r>
              <w:rPr>
                <w:rFonts w:ascii="Arial" w:hAnsi="Arial" w:cs="Arial"/>
                <w:color w:val="000000"/>
              </w:rPr>
              <w:t>ahrende</w:t>
            </w:r>
            <w:r w:rsidRPr="005E0E80">
              <w:rPr>
                <w:rFonts w:ascii="Arial" w:hAnsi="Arial" w:cs="Arial"/>
                <w:color w:val="000000"/>
              </w:rPr>
              <w:t xml:space="preserve"> Belege (nach EStG)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94A2EA" w14:textId="39EB5938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680092C9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EA77B6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FF5F87" w14:textId="77777777" w:rsidR="000E5EB6" w:rsidRPr="00647B42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0E5EB6" w:rsidRPr="005E0E80" w14:paraId="3BD9754D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0C1390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M</w:t>
            </w:r>
            <w:r w:rsidRPr="005E0E80">
              <w:rPr>
                <w:rFonts w:ascii="Arial" w:hAnsi="Arial" w:cs="Arial"/>
                <w:color w:val="000000"/>
              </w:rPr>
              <w:t>agnetbänder mit Buchfunktion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786C1" w14:textId="3D226A61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217CC305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75E6FD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Mahnbescheide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2B2D7B" w14:textId="373E891F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077F1DDC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52498B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Mietunterlagen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DC3236" w14:textId="00B47C32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50153360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A9250A" w14:textId="77777777" w:rsidR="000E5EB6" w:rsidRPr="005E0E80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FEB93E" w14:textId="77777777" w:rsidR="000E5EB6" w:rsidRPr="00647B42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0E5EB6" w:rsidRPr="005E0E80" w14:paraId="0FECCB9E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60B806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Pr="005E0E80">
              <w:rPr>
                <w:rFonts w:ascii="Arial" w:hAnsi="Arial" w:cs="Arial"/>
                <w:color w:val="000000"/>
              </w:rPr>
              <w:t>achnahmebelege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80A955" w14:textId="4BB548EB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1DBCC405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4C268C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Nebenbücher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6F7A8A" w14:textId="452D4177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0E5EB6" w:rsidRPr="005E0E80" w14:paraId="030B3A0F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B8BD05" w14:textId="77777777" w:rsidR="000E5EB6" w:rsidRPr="005E0E80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85469" w14:textId="77777777" w:rsidR="000E5EB6" w:rsidRPr="00647B42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0E5EB6" w:rsidRPr="005E0E80" w14:paraId="4FFBCB4F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BEF2DE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5E0E80">
              <w:rPr>
                <w:rFonts w:ascii="Arial" w:hAnsi="Arial" w:cs="Arial"/>
                <w:color w:val="000000"/>
              </w:rPr>
              <w:t>rganisationsunterlagen der EDV-Buchführung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7808F1" w14:textId="3921DDD4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0E5EB6" w:rsidRPr="005E0E80" w14:paraId="0826C237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B373AA" w14:textId="77777777" w:rsidR="000E5EB6" w:rsidRPr="005E0E80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68EBB1" w14:textId="77777777" w:rsidR="000E5EB6" w:rsidRPr="00647B42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0E5EB6" w:rsidRPr="005E0E80" w14:paraId="0627EF9F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F57472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P</w:t>
            </w:r>
            <w:r w:rsidRPr="005E0E80">
              <w:rPr>
                <w:rFonts w:ascii="Arial" w:hAnsi="Arial" w:cs="Arial"/>
                <w:color w:val="000000"/>
              </w:rPr>
              <w:t>achtunterlagen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8129A8" w14:textId="40D79BB4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26EFB919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205538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Postscheckbelege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721080" w14:textId="1A7C36E7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7E46C8BE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CA935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Preislisten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1427C6" w14:textId="1E80136E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03B5222C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901DED" w14:textId="33BB3D95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Protokolle</w:t>
            </w:r>
            <w:r w:rsidR="00DF5F62">
              <w:rPr>
                <w:rFonts w:ascii="Arial" w:hAnsi="Arial" w:cs="Arial"/>
                <w:color w:val="000000"/>
              </w:rPr>
              <w:t xml:space="preserve"> (</w:t>
            </w:r>
            <w:r w:rsidR="00DF5F62" w:rsidRPr="005E0E80">
              <w:rPr>
                <w:rFonts w:ascii="Arial" w:hAnsi="Arial" w:cs="Arial"/>
                <w:color w:val="000000"/>
              </w:rPr>
              <w:t>Buchführung</w:t>
            </w:r>
            <w:r w:rsidR="00DF5F62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D90582" w14:textId="7713DAAF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6EF6F763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ECB292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Provisionsabrechnungen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8B7AE8" w14:textId="4F3493A2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0A1267C0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7D7A64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Prozessakten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CD17AF" w14:textId="16F58837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42A251A0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22D5B0" w14:textId="77777777" w:rsidR="000E5EB6" w:rsidRPr="005E0E80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6CAFD4" w14:textId="77777777" w:rsidR="000E5EB6" w:rsidRPr="00647B42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0E5EB6" w:rsidRPr="005E0E80" w14:paraId="1A778CBE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223978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Q</w:t>
            </w:r>
            <w:r w:rsidRPr="005E0E80">
              <w:rPr>
                <w:rFonts w:ascii="Arial" w:hAnsi="Arial" w:cs="Arial"/>
                <w:color w:val="000000"/>
              </w:rPr>
              <w:t>uittungen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03A257" w14:textId="284F21AE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03B75B1C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F2425" w14:textId="77777777" w:rsidR="000E5EB6" w:rsidRPr="005E0E80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FA9874" w14:textId="77777777" w:rsidR="000E5EB6" w:rsidRPr="00647B42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0E5EB6" w:rsidRPr="005E0E80" w14:paraId="5047942F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2EE0CB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R</w:t>
            </w:r>
            <w:r w:rsidRPr="005E0E80">
              <w:rPr>
                <w:rFonts w:ascii="Arial" w:hAnsi="Arial" w:cs="Arial"/>
                <w:color w:val="000000"/>
              </w:rPr>
              <w:t>echnungen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729840" w14:textId="6F604C15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3D77187A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0CAD1B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Reisekostenabrechnungen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59E370" w14:textId="12A1ECC0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458AD066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2E387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Rentenversich.-nachweise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0F7867" w14:textId="6526B973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5A19D3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0D32B445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69AFBE" w14:textId="77777777" w:rsidR="000E5EB6" w:rsidRPr="005E0E80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8124B" w14:textId="77777777" w:rsidR="000E5EB6" w:rsidRPr="00647B42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0E5EB6" w:rsidRPr="005E0E80" w14:paraId="3F75C503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3A798E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Pr="005E0E80">
              <w:rPr>
                <w:rFonts w:ascii="Arial" w:hAnsi="Arial" w:cs="Arial"/>
                <w:color w:val="000000"/>
              </w:rPr>
              <w:t>achkonten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62927" w14:textId="67794B23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0E5EB6" w:rsidRPr="005E0E80" w14:paraId="57678507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13EA12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Saldenbestätigungen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7702F" w14:textId="1ABF5791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1247DD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7135892E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674219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Schadensunterlagen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5F89C8" w14:textId="545EB044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46547239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DCAD83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Scheck- und Wechselbelege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9418D" w14:textId="56134358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60467D84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ED0CC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Schriftwechsel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8CDEA7" w14:textId="1F8A28F6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3A03D3CF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4A0A6C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Speicherbelegungsplan der EDV-Buchführung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7E8011" w14:textId="00D7D7B8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0E5EB6" w:rsidRPr="005E0E80" w14:paraId="27CFB868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E1788D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Spendenbescheinigungen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DA9695" w14:textId="77780F9F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5C79591A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E2454C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Steuerunterlagen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895472" w14:textId="5F7F5664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0E5EB6" w:rsidRPr="005E0E80" w14:paraId="1220ED1B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5C236C" w14:textId="77777777" w:rsidR="000E5EB6" w:rsidRPr="005E0E80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C7AC12" w14:textId="77777777" w:rsidR="000E5EB6" w:rsidRPr="00647B42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0E5EB6" w:rsidRPr="005E0E80" w14:paraId="42CF23B0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4F1FD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T</w:t>
            </w:r>
            <w:r w:rsidRPr="005E0E80">
              <w:rPr>
                <w:rFonts w:ascii="Arial" w:hAnsi="Arial" w:cs="Arial"/>
                <w:color w:val="000000"/>
              </w:rPr>
              <w:t>elefonkostennachweise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342DD5" w14:textId="3EACB6DC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1247DD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6CBF717E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98F294" w14:textId="77777777" w:rsidR="000E5EB6" w:rsidRPr="005E0E80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9ED0DC" w14:textId="77777777" w:rsidR="000E5EB6" w:rsidRPr="00647B42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0E5EB6" w:rsidRPr="005E0E80" w14:paraId="669D46FD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71EC5B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Ü</w:t>
            </w:r>
            <w:r w:rsidRPr="005E0E80">
              <w:rPr>
                <w:rFonts w:ascii="Arial" w:hAnsi="Arial" w:cs="Arial"/>
                <w:color w:val="000000"/>
              </w:rPr>
              <w:t>berstundenlisten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852305" w14:textId="107D6095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6F46A4B9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B93F63" w14:textId="77777777" w:rsidR="000E5EB6" w:rsidRPr="005E0E80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C18CE2" w14:textId="77777777" w:rsidR="000E5EB6" w:rsidRPr="00647B42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0E5EB6" w:rsidRPr="005E0E80" w14:paraId="32D4DE7D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2A3955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U</w:t>
            </w:r>
            <w:r w:rsidRPr="005E0E80">
              <w:rPr>
                <w:rFonts w:ascii="Arial" w:hAnsi="Arial" w:cs="Arial"/>
                <w:color w:val="000000"/>
              </w:rPr>
              <w:t>msatzsteuervoranmeldungen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E6298C" w14:textId="5C15B3A5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0E5EB6" w:rsidRPr="005E0E80" w14:paraId="4B4F87A7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683A34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8D99BB" w14:textId="77777777" w:rsidR="000E5EB6" w:rsidRPr="00647B42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0E5EB6" w:rsidRPr="005E0E80" w14:paraId="28462691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140103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V</w:t>
            </w:r>
            <w:r w:rsidRPr="005E0E80">
              <w:rPr>
                <w:rFonts w:ascii="Arial" w:hAnsi="Arial" w:cs="Arial"/>
                <w:color w:val="000000"/>
              </w:rPr>
              <w:t>erbindlichkeiten (Zusammenstellungen)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7A6C9" w14:textId="6F96857E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0E5EB6" w:rsidRPr="005E0E80" w14:paraId="30C17682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424F56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Verkaufsbücher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EA54BB" w14:textId="47C874CA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1247DD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1C9F3129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EC1446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Vermögensverzeichnis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D27A00" w14:textId="47D33A41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0E5EB6" w:rsidRPr="005E0E80" w14:paraId="5FE84D32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2DBF99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Vermögenswirksame Leistungen (Unterlagen)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1C11EB" w14:textId="4B889EDE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08714B49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E6556C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Versand- und Fracht</w:t>
            </w:r>
            <w:r w:rsidRPr="005E0E80">
              <w:rPr>
                <w:rFonts w:ascii="Arial" w:hAnsi="Arial" w:cs="Arial"/>
                <w:color w:val="000000"/>
              </w:rPr>
              <w:t>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FD68" w14:textId="635ABD42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419D6AB0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61F473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Versicherungspolicen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EBE42D" w14:textId="569A4235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445F947B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12C1B2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Verträge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9DA8C0" w14:textId="28C5CDD0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536A95D8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01E82" w14:textId="77777777" w:rsidR="000E5EB6" w:rsidRPr="005E0E80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F2350" w14:textId="77777777" w:rsidR="000E5EB6" w:rsidRPr="00647B42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0E5EB6" w:rsidRPr="005E0E80" w14:paraId="5D1CAE9B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035AE2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W</w:t>
            </w:r>
            <w:r w:rsidRPr="005E0E80">
              <w:rPr>
                <w:rFonts w:ascii="Arial" w:hAnsi="Arial" w:cs="Arial"/>
                <w:color w:val="000000"/>
              </w:rPr>
              <w:t>arenein- und -ausgangsbücher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C25AA9" w14:textId="683126C7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0E5EB6" w:rsidRPr="005E0E80" w14:paraId="2821242E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634667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Wechsel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90ABF1" w14:textId="7FD59A3A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69DCDAC0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75B448" w14:textId="77777777" w:rsidR="000E5EB6" w:rsidRPr="005E0E80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91F125" w14:textId="77777777" w:rsidR="000E5EB6" w:rsidRPr="00647B42" w:rsidRDefault="000E5EB6" w:rsidP="00C7155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0E5EB6" w:rsidRPr="005E0E80" w14:paraId="0A83D757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C0EE6F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Z</w:t>
            </w:r>
            <w:r w:rsidRPr="005E0E80">
              <w:rPr>
                <w:rFonts w:ascii="Arial" w:hAnsi="Arial" w:cs="Arial"/>
                <w:color w:val="000000"/>
              </w:rPr>
              <w:t>ahlungsanweisungen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880DBC" w14:textId="483DF4EA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</w:t>
            </w:r>
            <w:r w:rsidR="001247DD" w:rsidRPr="00647B42">
              <w:rPr>
                <w:rFonts w:ascii="Arial" w:hAnsi="Arial" w:cs="Arial"/>
                <w:color w:val="000000"/>
              </w:rPr>
              <w:t>6</w:t>
            </w:r>
          </w:p>
        </w:tc>
      </w:tr>
      <w:tr w:rsidR="000E5EB6" w:rsidRPr="005E0E80" w14:paraId="2BC254B6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E8E9C3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Zinsberechnungen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5CD0C8" w14:textId="20FFCDAE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0E5EB6" w:rsidRPr="005E0E80" w14:paraId="51BFBAC5" w14:textId="77777777" w:rsidTr="00C71557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388B9A" w14:textId="77777777" w:rsidR="000E5EB6" w:rsidRPr="005E0E80" w:rsidRDefault="000E5EB6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Zwischenbilanz (bei Gesellschafterwechsel oder Umstellung des Wirtschaftsjahrs)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5089B4" w14:textId="26F3CB80" w:rsidR="000E5EB6" w:rsidRPr="00647B42" w:rsidRDefault="00013182" w:rsidP="00C71557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</w:tbl>
    <w:p w14:paraId="436D057C" w14:textId="77777777" w:rsidR="000E5EB6" w:rsidRPr="00357282" w:rsidRDefault="000E5EB6" w:rsidP="000E5EB6">
      <w:pPr>
        <w:pStyle w:val="A-Grundtext"/>
        <w:tabs>
          <w:tab w:val="left" w:pos="284"/>
        </w:tabs>
        <w:ind w:left="284" w:hanging="284"/>
        <w:rPr>
          <w:sz w:val="22"/>
        </w:rPr>
      </w:pPr>
    </w:p>
    <w:p w14:paraId="487851CB" w14:textId="77777777" w:rsidR="000E5EB6" w:rsidRDefault="000E5EB6" w:rsidP="000E5EB6">
      <w:pPr>
        <w:pStyle w:val="g0Grundtext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57282">
        <w:rPr>
          <w:rStyle w:val="hochgestellt"/>
          <w:rFonts w:ascii="Arial" w:eastAsiaTheme="majorEastAsia" w:hAnsi="Arial" w:cs="Arial"/>
          <w:sz w:val="22"/>
          <w:szCs w:val="22"/>
        </w:rPr>
        <w:t xml:space="preserve">1) </w:t>
      </w:r>
      <w:r>
        <w:rPr>
          <w:rStyle w:val="hochgestellt"/>
          <w:rFonts w:ascii="Arial" w:eastAsiaTheme="majorEastAsia" w:hAnsi="Arial" w:cs="Arial"/>
          <w:sz w:val="22"/>
          <w:szCs w:val="22"/>
        </w:rPr>
        <w:tab/>
      </w:r>
      <w:r w:rsidRPr="00357282">
        <w:rPr>
          <w:rFonts w:ascii="Arial" w:hAnsi="Arial" w:cs="Arial"/>
          <w:sz w:val="22"/>
          <w:szCs w:val="22"/>
        </w:rPr>
        <w:t>Soweit es sich um Buchungsbelege handelt (</w:t>
      </w:r>
      <w:r>
        <w:rPr>
          <w:rFonts w:ascii="Arial" w:hAnsi="Arial" w:cs="Arial"/>
          <w:sz w:val="22"/>
          <w:szCs w:val="22"/>
        </w:rPr>
        <w:t>sonst nur Sechsjahresfrist)</w:t>
      </w:r>
    </w:p>
    <w:p w14:paraId="4AE6BA3A" w14:textId="3DB1EC3A" w:rsidR="000E5EB6" w:rsidRPr="00357282" w:rsidRDefault="000E5EB6" w:rsidP="000E5EB6">
      <w:pPr>
        <w:pStyle w:val="g0Grundtext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57282">
        <w:rPr>
          <w:rStyle w:val="hochgestellt"/>
          <w:rFonts w:ascii="Arial" w:eastAsiaTheme="majorEastAsia" w:hAnsi="Arial" w:cs="Arial"/>
          <w:sz w:val="22"/>
          <w:szCs w:val="22"/>
        </w:rPr>
        <w:t>2)</w:t>
      </w:r>
      <w:r>
        <w:rPr>
          <w:rStyle w:val="hochgestellt"/>
          <w:rFonts w:ascii="Arial" w:eastAsiaTheme="majorEastAsia" w:hAnsi="Arial" w:cs="Arial"/>
          <w:sz w:val="22"/>
          <w:szCs w:val="22"/>
        </w:rPr>
        <w:tab/>
      </w:r>
      <w:r w:rsidRPr="00357282">
        <w:rPr>
          <w:rFonts w:ascii="Arial" w:hAnsi="Arial" w:cs="Arial"/>
          <w:sz w:val="22"/>
          <w:szCs w:val="22"/>
        </w:rPr>
        <w:t>Bei Erstellung des</w:t>
      </w:r>
      <w:r>
        <w:rPr>
          <w:rFonts w:ascii="Arial" w:hAnsi="Arial" w:cs="Arial"/>
          <w:sz w:val="22"/>
          <w:szCs w:val="22"/>
        </w:rPr>
        <w:t xml:space="preserve"> Jahresabschlusses im Jahr </w:t>
      </w:r>
      <w:r w:rsidR="00013182">
        <w:rPr>
          <w:rFonts w:ascii="Arial" w:hAnsi="Arial" w:cs="Arial"/>
          <w:sz w:val="22"/>
          <w:szCs w:val="22"/>
        </w:rPr>
        <w:t>2014</w:t>
      </w:r>
    </w:p>
    <w:p w14:paraId="108328FA" w14:textId="3F48EA03" w:rsidR="000E5EB6" w:rsidRPr="00357282" w:rsidRDefault="000E5EB6" w:rsidP="000E5EB6">
      <w:pPr>
        <w:pStyle w:val="A-Grundtext"/>
        <w:tabs>
          <w:tab w:val="left" w:pos="284"/>
        </w:tabs>
        <w:ind w:left="284" w:hanging="284"/>
        <w:rPr>
          <w:sz w:val="22"/>
        </w:rPr>
      </w:pPr>
      <w:r w:rsidRPr="00357282">
        <w:rPr>
          <w:rStyle w:val="hochgestellt"/>
          <w:rFonts w:eastAsiaTheme="majorEastAsia"/>
          <w:sz w:val="22"/>
        </w:rPr>
        <w:t xml:space="preserve">3) </w:t>
      </w:r>
      <w:r>
        <w:rPr>
          <w:rStyle w:val="hochgestellt"/>
          <w:rFonts w:eastAsiaTheme="majorEastAsia"/>
          <w:sz w:val="22"/>
        </w:rPr>
        <w:tab/>
      </w:r>
      <w:r w:rsidRPr="00357282">
        <w:rPr>
          <w:sz w:val="22"/>
        </w:rPr>
        <w:t>Erleichterungen bei der Aufbewahrung von Lieferscheinen durch das zweite Bürokratieentlastungsgesetz zum 01.01.201</w:t>
      </w:r>
      <w:r>
        <w:rPr>
          <w:sz w:val="22"/>
        </w:rPr>
        <w:t>9</w:t>
      </w:r>
      <w:r w:rsidRPr="00357282">
        <w:rPr>
          <w:sz w:val="22"/>
        </w:rPr>
        <w:t>: Bei empfangenen Lieferscheinen, die keine   Buchungsbelege sind, endet die Aufbewahrungsfrist mit Erhalt der Rechnung, für abgesandte Lieferscheine mit Versand der Rechnung.</w:t>
      </w:r>
    </w:p>
    <w:p w14:paraId="12C7B37F" w14:textId="77777777" w:rsidR="000E5EB6" w:rsidRDefault="000E5EB6" w:rsidP="000E5EB6">
      <w:pPr>
        <w:pStyle w:val="A-Grundtext"/>
      </w:pPr>
    </w:p>
    <w:p w14:paraId="123DDD37" w14:textId="77777777" w:rsidR="000E5EB6" w:rsidRDefault="000E5EB6" w:rsidP="000E5EB6">
      <w:pPr>
        <w:pStyle w:val="A-Grundtext"/>
      </w:pPr>
    </w:p>
    <w:p w14:paraId="6A5C44CB" w14:textId="77777777" w:rsidR="000E5EB6" w:rsidRDefault="000E5EB6" w:rsidP="000E5EB6">
      <w:pPr>
        <w:pStyle w:val="A-Grundtext"/>
      </w:pPr>
    </w:p>
    <w:p w14:paraId="70C81A53" w14:textId="77777777" w:rsidR="000E5EB6" w:rsidRPr="00A033C2" w:rsidRDefault="000E5EB6" w:rsidP="000E5EB6">
      <w:pPr>
        <w:pStyle w:val="A-Grundtext"/>
      </w:pPr>
    </w:p>
    <w:tbl>
      <w:tblPr>
        <w:tblStyle w:val="Tabellenraster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E5EB6" w14:paraId="75987A4C" w14:textId="77777777" w:rsidTr="00C71557">
        <w:trPr>
          <w:trHeight w:val="1690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14:paraId="47A6E8A6" w14:textId="77777777" w:rsidR="000E5EB6" w:rsidRPr="00B1645A" w:rsidRDefault="000E5EB6" w:rsidP="00C71557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rStyle w:val="fett"/>
                <w:bCs/>
              </w:rPr>
              <w:t xml:space="preserve">Wichtiger Hinweis: </w:t>
            </w:r>
            <w:r w:rsidRPr="00195308">
              <w:t xml:space="preserve">Der Inhalt ist nach bestem Wissen und Kenntnisstand erstellt worden. </w:t>
            </w:r>
            <w:r>
              <w:t xml:space="preserve">Die Redaktion prüft ihn regelmäßig und passt ihn </w:t>
            </w:r>
            <w:r w:rsidRPr="00195308">
              <w:t>gegebenenfalls an. Gleichwohl schließen wir Haftung und Gewähr aus, da die Materie komplex ist und sich ständig wandelt</w:t>
            </w:r>
            <w:r w:rsidRPr="00B1645A">
              <w:t xml:space="preserve">. </w:t>
            </w:r>
            <w:r>
              <w:t>Muster dienen als Vorlage und sind individuell anzupassen.</w:t>
            </w:r>
          </w:p>
          <w:p w14:paraId="693803F1" w14:textId="77777777" w:rsidR="000E5EB6" w:rsidRPr="00B1645A" w:rsidRDefault="000E5EB6" w:rsidP="00C71557">
            <w:pPr>
              <w:pStyle w:val="A-Grundtext"/>
              <w:shd w:val="clear" w:color="auto" w:fill="D9D9D9" w:themeFill="background1" w:themeFillShade="D9"/>
              <w:ind w:left="142" w:right="207"/>
            </w:pPr>
          </w:p>
          <w:p w14:paraId="24FC1403" w14:textId="77777777" w:rsidR="000E5EB6" w:rsidRPr="00B1645A" w:rsidRDefault="000E5EB6" w:rsidP="00C71557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b/>
              </w:rPr>
              <w:t>Haben Sie noch Fragen?</w:t>
            </w:r>
            <w:r w:rsidRPr="00B1645A">
              <w:t xml:space="preserve"> Schreiben Sie uns: </w:t>
            </w:r>
            <w:hyperlink r:id="rId7" w:history="1">
              <w:r w:rsidRPr="00B1645A">
                <w:rPr>
                  <w:rStyle w:val="Hyperlink"/>
                  <w:rFonts w:cs="Arial"/>
                  <w:color w:val="auto"/>
                </w:rPr>
                <w:t>kontakt@iww.de</w:t>
              </w:r>
            </w:hyperlink>
          </w:p>
        </w:tc>
      </w:tr>
    </w:tbl>
    <w:p w14:paraId="7598B330" w14:textId="77777777" w:rsidR="000E5EB6" w:rsidRPr="00BF6EBD" w:rsidRDefault="000E5EB6" w:rsidP="000E5EB6"/>
    <w:p w14:paraId="41F14342" w14:textId="77777777" w:rsidR="00901837" w:rsidRPr="000E5EB6" w:rsidRDefault="00901837" w:rsidP="000E5EB6"/>
    <w:sectPr w:rsidR="00901837" w:rsidRPr="000E5EB6" w:rsidSect="008453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49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6F88" w14:textId="77777777" w:rsidR="00794739" w:rsidRDefault="00794739" w:rsidP="00B2150E">
      <w:pPr>
        <w:spacing w:after="0" w:line="240" w:lineRule="auto"/>
      </w:pPr>
      <w:r>
        <w:separator/>
      </w:r>
    </w:p>
  </w:endnote>
  <w:endnote w:type="continuationSeparator" w:id="0">
    <w:p w14:paraId="6B5EB65C" w14:textId="77777777" w:rsidR="00794739" w:rsidRDefault="00794739" w:rsidP="00B2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Offc Pro">
    <w:panose1 w:val="020B0504020101020102"/>
    <w:charset w:val="00"/>
    <w:family w:val="swiss"/>
    <w:pitch w:val="variable"/>
    <w:sig w:usb0="A00002BF" w:usb1="40002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altName w:val="Ligurino"/>
    <w:panose1 w:val="02000503030000020003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EB1B" w14:textId="77777777" w:rsidR="004A4EFB" w:rsidRDefault="004A4E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EEB7" w14:textId="77777777" w:rsidR="009F4FFC" w:rsidRPr="00F71C96" w:rsidRDefault="008453E4" w:rsidP="001E0C39">
    <w:pPr>
      <w:pStyle w:val="Fuzeile"/>
      <w:tabs>
        <w:tab w:val="clear" w:pos="4536"/>
        <w:tab w:val="clear" w:pos="9072"/>
        <w:tab w:val="right" w:pos="8364"/>
      </w:tabs>
      <w:ind w:left="360" w:right="850"/>
      <w:jc w:val="center"/>
      <w:rPr>
        <w:rFonts w:ascii="Arial" w:hAnsi="Arial" w:cs="Arial"/>
        <w:sz w:val="16"/>
      </w:rPr>
    </w:pPr>
    <w:r w:rsidRPr="00F71C96">
      <w:rPr>
        <w:rFonts w:ascii="Arial" w:hAnsi="Arial" w:cs="Arial"/>
        <w:sz w:val="16"/>
      </w:rPr>
      <w:t xml:space="preserve">- </w:t>
    </w:r>
    <w:r w:rsidRPr="00F71C96">
      <w:rPr>
        <w:rFonts w:ascii="Arial" w:hAnsi="Arial" w:cs="Arial"/>
        <w:sz w:val="16"/>
      </w:rPr>
      <w:fldChar w:fldCharType="begin"/>
    </w:r>
    <w:r w:rsidRPr="00F71C96">
      <w:rPr>
        <w:rFonts w:ascii="Arial" w:hAnsi="Arial" w:cs="Arial"/>
        <w:sz w:val="16"/>
      </w:rPr>
      <w:instrText>PAGE   \* MERGEFORMAT</w:instrText>
    </w:r>
    <w:r w:rsidRPr="00F71C96">
      <w:rPr>
        <w:rFonts w:ascii="Arial" w:hAnsi="Arial" w:cs="Arial"/>
        <w:sz w:val="16"/>
      </w:rPr>
      <w:fldChar w:fldCharType="separate"/>
    </w:r>
    <w:r w:rsidR="00360B71">
      <w:rPr>
        <w:rFonts w:ascii="Arial" w:hAnsi="Arial" w:cs="Arial"/>
        <w:noProof/>
        <w:sz w:val="16"/>
      </w:rPr>
      <w:t>2</w:t>
    </w:r>
    <w:r w:rsidRPr="00F71C96">
      <w:rPr>
        <w:rFonts w:ascii="Arial" w:hAnsi="Arial" w:cs="Arial"/>
        <w:sz w:val="16"/>
      </w:rPr>
      <w:fldChar w:fldCharType="end"/>
    </w:r>
    <w:r w:rsidRPr="00F71C96">
      <w:rPr>
        <w:rFonts w:ascii="Arial" w:hAnsi="Arial" w:cs="Arial"/>
        <w:sz w:val="16"/>
      </w:rPr>
      <w:t xml:space="preserve"> - </w:t>
    </w:r>
  </w:p>
  <w:p w14:paraId="44A1C0E4" w14:textId="77777777" w:rsidR="00B2150E" w:rsidRDefault="00EA7C3F" w:rsidP="00B2150E">
    <w:pPr>
      <w:pStyle w:val="Fu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10FA" wp14:editId="5B1206E2">
          <wp:simplePos x="0" y="0"/>
          <wp:positionH relativeFrom="column">
            <wp:posOffset>4357370</wp:posOffset>
          </wp:positionH>
          <wp:positionV relativeFrom="paragraph">
            <wp:posOffset>-102870</wp:posOffset>
          </wp:positionV>
          <wp:extent cx="1939925" cy="27178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4DF9" w14:textId="1DCFAEF6" w:rsidR="008453E4" w:rsidRPr="00B55676" w:rsidRDefault="00EA7C3F">
    <w:pPr>
      <w:pStyle w:val="Fuzeil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FCB2127" wp14:editId="1EC390BD">
          <wp:simplePos x="0" y="0"/>
          <wp:positionH relativeFrom="column">
            <wp:posOffset>4509770</wp:posOffset>
          </wp:positionH>
          <wp:positionV relativeFrom="paragraph">
            <wp:posOffset>49530</wp:posOffset>
          </wp:positionV>
          <wp:extent cx="1939925" cy="271780"/>
          <wp:effectExtent l="0" t="0" r="0" b="0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676" w:rsidRPr="00B55676">
      <w:rPr>
        <w:rFonts w:ascii="Arial" w:hAnsi="Arial" w:cs="Arial"/>
        <w:sz w:val="16"/>
        <w:szCs w:val="16"/>
      </w:rPr>
      <w:t xml:space="preserve">IWW-ID: </w:t>
    </w:r>
    <w:r w:rsidR="004A4EFB">
      <w:rPr>
        <w:rFonts w:ascii="Arial" w:hAnsi="Arial" w:cs="Arial"/>
        <w:sz w:val="16"/>
        <w:szCs w:val="16"/>
      </w:rPr>
      <w:t>50192550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DDBEB" w14:textId="77777777" w:rsidR="00794739" w:rsidRDefault="00794739" w:rsidP="00B2150E">
      <w:pPr>
        <w:spacing w:after="0" w:line="240" w:lineRule="auto"/>
      </w:pPr>
      <w:r>
        <w:separator/>
      </w:r>
    </w:p>
  </w:footnote>
  <w:footnote w:type="continuationSeparator" w:id="0">
    <w:p w14:paraId="7B231BE9" w14:textId="77777777" w:rsidR="00794739" w:rsidRDefault="00794739" w:rsidP="00B2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ABCE" w14:textId="77777777" w:rsidR="004A4EFB" w:rsidRDefault="004A4E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7CC6" w14:textId="77777777" w:rsidR="00B2150E" w:rsidRPr="003B0C0E" w:rsidRDefault="001A4CE6">
    <w:pPr>
      <w:pStyle w:val="Kopfzeile"/>
      <w:rPr>
        <w:rFonts w:ascii="DINPro-Regular" w:hAnsi="DINPro-Regular"/>
      </w:rPr>
    </w:pPr>
    <w:r w:rsidRPr="001A4CE6">
      <w:rPr>
        <w:rFonts w:ascii="DINPro-Regular" w:hAnsi="DINPro-Regular"/>
        <w:noProof/>
        <w:lang w:eastAsia="de-DE"/>
      </w:rPr>
      <w:drawing>
        <wp:inline distT="0" distB="0" distL="0" distR="0" wp14:anchorId="4E2FF7FF" wp14:editId="2149D020">
          <wp:extent cx="1209675" cy="552450"/>
          <wp:effectExtent l="0" t="0" r="0" b="0"/>
          <wp:docPr id="2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29E6F" w14:textId="77777777" w:rsidR="003B0C0E" w:rsidRDefault="003B0C0E">
    <w:pPr>
      <w:pStyle w:val="Kopfzeile"/>
      <w:rPr>
        <w:rFonts w:ascii="DINPro-Regular" w:hAnsi="DINPro-Regular"/>
      </w:rPr>
    </w:pPr>
  </w:p>
  <w:p w14:paraId="20C4CE62" w14:textId="77777777" w:rsidR="008453E4" w:rsidRPr="003B0C0E" w:rsidRDefault="008453E4">
    <w:pPr>
      <w:pStyle w:val="Kopfzeile"/>
      <w:rPr>
        <w:rFonts w:ascii="DINPro-Regular" w:hAnsi="DINPro-Regula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2E97" w14:textId="77777777" w:rsidR="008453E4" w:rsidRDefault="001A4CE6">
    <w:pPr>
      <w:pStyle w:val="Kopfzeile"/>
    </w:pPr>
    <w:r w:rsidRPr="00DC6EAC">
      <w:rPr>
        <w:noProof/>
        <w:lang w:eastAsia="de-DE"/>
      </w:rPr>
      <w:drawing>
        <wp:inline distT="0" distB="0" distL="0" distR="0" wp14:anchorId="5D9EF18E" wp14:editId="35A5AC2E">
          <wp:extent cx="1209675" cy="552450"/>
          <wp:effectExtent l="0" t="0" r="0" b="0"/>
          <wp:docPr id="4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B1592" w14:textId="77777777" w:rsidR="008453E4" w:rsidRDefault="008453E4">
    <w:pPr>
      <w:pStyle w:val="Kopfzeile"/>
    </w:pPr>
  </w:p>
  <w:p w14:paraId="32B75D28" w14:textId="77777777" w:rsidR="008453E4" w:rsidRDefault="008453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152A"/>
    <w:multiLevelType w:val="hybridMultilevel"/>
    <w:tmpl w:val="FFFFFFFF"/>
    <w:lvl w:ilvl="0" w:tplc="E022F52E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417D1"/>
    <w:multiLevelType w:val="hybridMultilevel"/>
    <w:tmpl w:val="FFFFFFFF"/>
    <w:lvl w:ilvl="0" w:tplc="B4F8FC3A">
      <w:start w:val="1"/>
      <w:numFmt w:val="bullet"/>
      <w:pStyle w:val="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87F70"/>
    <w:multiLevelType w:val="hybridMultilevel"/>
    <w:tmpl w:val="FFFFFFFF"/>
    <w:lvl w:ilvl="0" w:tplc="7E8E74A4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7707">
    <w:abstractNumId w:val="0"/>
  </w:num>
  <w:num w:numId="2" w16cid:durableId="1933469847">
    <w:abstractNumId w:val="2"/>
  </w:num>
  <w:num w:numId="3" w16cid:durableId="1653677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0E"/>
    <w:rsid w:val="00013182"/>
    <w:rsid w:val="00047F0E"/>
    <w:rsid w:val="000A1660"/>
    <w:rsid w:val="000A6C40"/>
    <w:rsid w:val="000B07BE"/>
    <w:rsid w:val="000D00F1"/>
    <w:rsid w:val="000E3168"/>
    <w:rsid w:val="000E5957"/>
    <w:rsid w:val="000E5EB6"/>
    <w:rsid w:val="001247DD"/>
    <w:rsid w:val="00151769"/>
    <w:rsid w:val="00195308"/>
    <w:rsid w:val="001A2C2E"/>
    <w:rsid w:val="001A4CE6"/>
    <w:rsid w:val="001B0D45"/>
    <w:rsid w:val="001B5725"/>
    <w:rsid w:val="001E0C39"/>
    <w:rsid w:val="00215ABE"/>
    <w:rsid w:val="0023011E"/>
    <w:rsid w:val="00241789"/>
    <w:rsid w:val="002A5484"/>
    <w:rsid w:val="002D4A97"/>
    <w:rsid w:val="00320EA2"/>
    <w:rsid w:val="00360B71"/>
    <w:rsid w:val="003843C6"/>
    <w:rsid w:val="003B0C0E"/>
    <w:rsid w:val="004033C6"/>
    <w:rsid w:val="0045307A"/>
    <w:rsid w:val="00453096"/>
    <w:rsid w:val="004A4EFB"/>
    <w:rsid w:val="004D2AB7"/>
    <w:rsid w:val="004F4EA0"/>
    <w:rsid w:val="00593354"/>
    <w:rsid w:val="005A19D3"/>
    <w:rsid w:val="005B24EC"/>
    <w:rsid w:val="00610AFA"/>
    <w:rsid w:val="00647B42"/>
    <w:rsid w:val="00682B08"/>
    <w:rsid w:val="006A385A"/>
    <w:rsid w:val="006B0D4D"/>
    <w:rsid w:val="006F7D28"/>
    <w:rsid w:val="007056B6"/>
    <w:rsid w:val="00736EA3"/>
    <w:rsid w:val="00742DC7"/>
    <w:rsid w:val="007712EC"/>
    <w:rsid w:val="00794739"/>
    <w:rsid w:val="00844B9B"/>
    <w:rsid w:val="008453E4"/>
    <w:rsid w:val="00853F77"/>
    <w:rsid w:val="0087647C"/>
    <w:rsid w:val="008B69CB"/>
    <w:rsid w:val="008C5382"/>
    <w:rsid w:val="008C7F29"/>
    <w:rsid w:val="00901837"/>
    <w:rsid w:val="00916CF4"/>
    <w:rsid w:val="00923F71"/>
    <w:rsid w:val="00997F46"/>
    <w:rsid w:val="009A6C9A"/>
    <w:rsid w:val="009B5A39"/>
    <w:rsid w:val="009F01A8"/>
    <w:rsid w:val="009F4FFC"/>
    <w:rsid w:val="00A00DF1"/>
    <w:rsid w:val="00A033C2"/>
    <w:rsid w:val="00A679AA"/>
    <w:rsid w:val="00A84758"/>
    <w:rsid w:val="00A86036"/>
    <w:rsid w:val="00AB4F4F"/>
    <w:rsid w:val="00AC24B7"/>
    <w:rsid w:val="00AD79C0"/>
    <w:rsid w:val="00AE07BD"/>
    <w:rsid w:val="00AF49EB"/>
    <w:rsid w:val="00B06839"/>
    <w:rsid w:val="00B1645A"/>
    <w:rsid w:val="00B2150E"/>
    <w:rsid w:val="00B55676"/>
    <w:rsid w:val="00B9664D"/>
    <w:rsid w:val="00BC1A18"/>
    <w:rsid w:val="00CC7108"/>
    <w:rsid w:val="00CF07F8"/>
    <w:rsid w:val="00CF57DB"/>
    <w:rsid w:val="00D45578"/>
    <w:rsid w:val="00DA1E2A"/>
    <w:rsid w:val="00DC6EAC"/>
    <w:rsid w:val="00DF0673"/>
    <w:rsid w:val="00DF5F62"/>
    <w:rsid w:val="00E06B60"/>
    <w:rsid w:val="00E102A2"/>
    <w:rsid w:val="00E33B46"/>
    <w:rsid w:val="00E60AAC"/>
    <w:rsid w:val="00EA7C3F"/>
    <w:rsid w:val="00EB29A4"/>
    <w:rsid w:val="00EF5ABB"/>
    <w:rsid w:val="00F16671"/>
    <w:rsid w:val="00F52F7E"/>
    <w:rsid w:val="00F71C96"/>
    <w:rsid w:val="00F849FF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0C539F"/>
  <w14:defaultImageDpi w14:val="0"/>
  <w15:docId w15:val="{EB94590D-2E45-47B9-A785-E22CC7B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F29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11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385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385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A385A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385A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23011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6A385A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6A385A"/>
    <w:rPr>
      <w:rFonts w:asciiTheme="majorHAnsi" w:eastAsiaTheme="majorEastAsia" w:hAnsiTheme="majorHAnsi" w:cs="Times New Roman"/>
      <w:color w:val="243F60" w:themeColor="accent1" w:themeShade="7F"/>
    </w:rPr>
  </w:style>
  <w:style w:type="paragraph" w:styleId="Kopfzeile">
    <w:name w:val="header"/>
    <w:basedOn w:val="Standard"/>
    <w:link w:val="Kopf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2150E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2150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2150E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3011E"/>
    <w:pPr>
      <w:spacing w:after="0" w:line="240" w:lineRule="auto"/>
    </w:pPr>
    <w:rPr>
      <w:rFonts w:cs="Times New Roman"/>
    </w:rPr>
  </w:style>
  <w:style w:type="paragraph" w:customStyle="1" w:styleId="A-Dachzeile">
    <w:name w:val="A-Dachzeile"/>
    <w:basedOn w:val="Standard"/>
    <w:rsid w:val="00E33B46"/>
    <w:pPr>
      <w:pBdr>
        <w:bottom w:val="single" w:sz="2" w:space="0" w:color="auto"/>
        <w:between w:val="single" w:sz="2" w:space="0" w:color="auto"/>
      </w:pBdr>
      <w:autoSpaceDE w:val="0"/>
      <w:autoSpaceDN w:val="0"/>
      <w:adjustRightInd w:val="0"/>
      <w:spacing w:after="0" w:line="288" w:lineRule="atLeast"/>
      <w:outlineLvl w:val="0"/>
    </w:pPr>
    <w:rPr>
      <w:rFonts w:ascii="Arial" w:hAnsi="Arial"/>
      <w:sz w:val="21"/>
      <w:szCs w:val="23"/>
      <w:lang w:eastAsia="de-DE"/>
    </w:rPr>
  </w:style>
  <w:style w:type="paragraph" w:customStyle="1" w:styleId="A-berschriftgro">
    <w:name w:val="A-Überschrift groß"/>
    <w:basedOn w:val="Standard"/>
    <w:rsid w:val="00A033C2"/>
    <w:pPr>
      <w:autoSpaceDE w:val="0"/>
      <w:autoSpaceDN w:val="0"/>
      <w:adjustRightInd w:val="0"/>
      <w:spacing w:before="74" w:after="85" w:line="420" w:lineRule="atLeast"/>
      <w:outlineLvl w:val="0"/>
    </w:pPr>
    <w:rPr>
      <w:rFonts w:ascii="DIN Offc Pro" w:hAnsi="DIN Offc Pro" w:cs="DIN Offc Pro"/>
      <w:b/>
      <w:bCs/>
      <w:sz w:val="36"/>
      <w:szCs w:val="36"/>
      <w:lang w:eastAsia="de-DE"/>
    </w:rPr>
  </w:style>
  <w:style w:type="paragraph" w:customStyle="1" w:styleId="A-berschriftklein">
    <w:name w:val="A-Überschrift klein"/>
    <w:basedOn w:val="Standard"/>
    <w:rsid w:val="00901837"/>
    <w:pPr>
      <w:autoSpaceDE w:val="0"/>
      <w:autoSpaceDN w:val="0"/>
      <w:adjustRightInd w:val="0"/>
      <w:spacing w:after="0" w:line="260" w:lineRule="atLeast"/>
    </w:pPr>
    <w:rPr>
      <w:rFonts w:ascii="Arial" w:hAnsi="Arial" w:cs="Arial"/>
      <w:b/>
      <w:bCs/>
      <w:szCs w:val="24"/>
      <w:lang w:eastAsia="de-DE"/>
    </w:rPr>
  </w:style>
  <w:style w:type="paragraph" w:customStyle="1" w:styleId="A-Grundtext">
    <w:name w:val="A-Grundtext"/>
    <w:basedOn w:val="Standard"/>
    <w:rsid w:val="00A033C2"/>
    <w:pPr>
      <w:tabs>
        <w:tab w:val="right" w:pos="6293"/>
      </w:tabs>
      <w:autoSpaceDE w:val="0"/>
      <w:autoSpaceDN w:val="0"/>
      <w:adjustRightInd w:val="0"/>
      <w:spacing w:after="0" w:line="260" w:lineRule="atLeast"/>
    </w:pPr>
    <w:rPr>
      <w:rFonts w:ascii="Arial" w:hAnsi="Arial" w:cs="Arial"/>
      <w:sz w:val="21"/>
      <w:lang w:eastAsia="de-DE"/>
    </w:rPr>
  </w:style>
  <w:style w:type="paragraph" w:customStyle="1" w:styleId="A-AufzhlungTab">
    <w:name w:val="A-AufzählungTab"/>
    <w:basedOn w:val="A-Grundtext"/>
    <w:rsid w:val="00901837"/>
    <w:pPr>
      <w:tabs>
        <w:tab w:val="left" w:pos="360"/>
      </w:tabs>
      <w:ind w:left="360" w:hanging="360"/>
    </w:pPr>
  </w:style>
  <w:style w:type="character" w:customStyle="1" w:styleId="fett">
    <w:name w:val="fett"/>
    <w:rsid w:val="00901837"/>
    <w:rPr>
      <w:b/>
    </w:rPr>
  </w:style>
  <w:style w:type="paragraph" w:customStyle="1" w:styleId="A-AufzhlungPunkt">
    <w:name w:val="A-Aufzählung Punkt"/>
    <w:basedOn w:val="A-Grundtext"/>
    <w:next w:val="A-Grundtext"/>
    <w:rsid w:val="00901837"/>
    <w:pPr>
      <w:numPr>
        <w:numId w:val="3"/>
      </w:numPr>
      <w:tabs>
        <w:tab w:val="clear" w:pos="6293"/>
      </w:tabs>
    </w:pPr>
  </w:style>
  <w:style w:type="character" w:styleId="Hyperlink">
    <w:name w:val="Hyperlink"/>
    <w:basedOn w:val="Absatz-Standardschriftart"/>
    <w:uiPriority w:val="99"/>
    <w:unhideWhenUsed/>
    <w:rsid w:val="000B07BE"/>
    <w:rPr>
      <w:rFonts w:cs="Times New Roman"/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B07B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0Grundtext">
    <w:name w:val="g0__Grundtext"/>
    <w:basedOn w:val="Standard"/>
    <w:uiPriority w:val="99"/>
    <w:rsid w:val="000E5EB6"/>
    <w:pPr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DINPro-Regular" w:hAnsi="DINPro-Regular" w:cs="DINPro-Regular"/>
      <w:color w:val="000000"/>
      <w:sz w:val="21"/>
      <w:szCs w:val="21"/>
    </w:rPr>
  </w:style>
  <w:style w:type="character" w:customStyle="1" w:styleId="hochgestellt">
    <w:name w:val="hochgestellt"/>
    <w:uiPriority w:val="99"/>
    <w:rsid w:val="000E5EB6"/>
    <w:rPr>
      <w:u w:val="none"/>
      <w:vertAlign w:val="superscript"/>
    </w:rPr>
  </w:style>
  <w:style w:type="paragraph" w:customStyle="1" w:styleId="tg0TbGrundtextTabellenformate">
    <w:name w:val="tg0__Tb: Grundtext (Tabellenformate)"/>
    <w:basedOn w:val="Standard"/>
    <w:uiPriority w:val="99"/>
    <w:rsid w:val="000E5EB6"/>
    <w:pPr>
      <w:tabs>
        <w:tab w:val="right" w:pos="6520"/>
        <w:tab w:val="right" w:pos="7087"/>
      </w:tabs>
      <w:autoSpaceDE w:val="0"/>
      <w:autoSpaceDN w:val="0"/>
      <w:adjustRightInd w:val="0"/>
      <w:spacing w:after="0" w:line="220" w:lineRule="atLeast"/>
      <w:textAlignment w:val="center"/>
    </w:pPr>
    <w:rPr>
      <w:rFonts w:ascii="DINPro-Regular" w:hAnsi="DINPro-Regular" w:cs="DINPro-Regular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ntakt@iww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Vogel Business Media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Kocker, Svenja</dc:creator>
  <cp:keywords/>
  <dc:description/>
  <cp:lastModifiedBy>Eva Köstler</cp:lastModifiedBy>
  <cp:revision>7</cp:revision>
  <cp:lastPrinted>2017-05-12T08:38:00Z</cp:lastPrinted>
  <dcterms:created xsi:type="dcterms:W3CDTF">2024-10-04T13:51:00Z</dcterms:created>
  <dcterms:modified xsi:type="dcterms:W3CDTF">2025-01-23T07:04:00Z</dcterms:modified>
</cp:coreProperties>
</file>