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136D0E3C"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E23600">
        <w:rPr>
          <w:rFonts w:cs="Arial"/>
        </w:rPr>
        <w:t>UE 10/2025</w:t>
      </w:r>
    </w:p>
    <w:p w14:paraId="0511E929" w14:textId="3BFF28D0" w:rsidR="00901837" w:rsidRPr="00A033C2" w:rsidRDefault="00E23600" w:rsidP="00A033C2">
      <w:pPr>
        <w:pStyle w:val="A-berschriftgro"/>
        <w:rPr>
          <w:rFonts w:ascii="Arial" w:hAnsi="Arial" w:cs="Arial"/>
        </w:rPr>
      </w:pPr>
      <w:r>
        <w:rPr>
          <w:rFonts w:ascii="Arial" w:hAnsi="Arial" w:cs="Arial"/>
        </w:rPr>
        <w:t>645: Auch die neue Vorteilsausgleichsabtretung der HUK ist unwirksam (H)</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050B9193" w14:textId="77777777" w:rsidR="00E23600" w:rsidRDefault="00E23600" w:rsidP="00E23600">
      <w:pPr>
        <w:pStyle w:val="A-Grundtext"/>
      </w:pPr>
      <w:r>
        <w:t xml:space="preserve">„Abgetreten sind „etwaige das Werkstattrisiko betreffende Ersatzansprüche </w:t>
      </w:r>
    </w:p>
    <w:p w14:paraId="27DC6FAC" w14:textId="77777777" w:rsidR="00E23600" w:rsidRDefault="00E23600" w:rsidP="00E23600">
      <w:pPr>
        <w:pStyle w:val="A-Grundtext"/>
      </w:pPr>
      <w:r>
        <w:t xml:space="preserve">gegenüber dem Reparaturbetrieb“. Das „Werkstattrisiko“ ist ein Baustein des Schadenersatzrechts als Erleichterung der Darlegungslast des Geschädigten. </w:t>
      </w:r>
    </w:p>
    <w:p w14:paraId="4EB4E6F6" w14:textId="77777777" w:rsidR="00E23600" w:rsidRDefault="00E23600" w:rsidP="00E23600">
      <w:pPr>
        <w:pStyle w:val="A-Grundtext"/>
      </w:pPr>
    </w:p>
    <w:p w14:paraId="0D0D3E2B" w14:textId="77777777" w:rsidR="00E23600" w:rsidRDefault="00E23600" w:rsidP="00E23600">
      <w:pPr>
        <w:pStyle w:val="A-Grundtext"/>
      </w:pPr>
      <w:r>
        <w:t xml:space="preserve">Es gab also zunächst das Werkstattrisiko betreffende Ersatzansprüche des </w:t>
      </w:r>
    </w:p>
    <w:p w14:paraId="5016A015" w14:textId="77777777" w:rsidR="00E23600" w:rsidRDefault="00E23600" w:rsidP="00E23600">
      <w:pPr>
        <w:pStyle w:val="A-Grundtext"/>
      </w:pPr>
      <w:r>
        <w:t xml:space="preserve">Zedenten gegen die Klägerin. </w:t>
      </w:r>
    </w:p>
    <w:p w14:paraId="0F0822C5" w14:textId="77777777" w:rsidR="00E23600" w:rsidRDefault="00E23600" w:rsidP="00E23600">
      <w:pPr>
        <w:pStyle w:val="A-Grundtext"/>
      </w:pPr>
    </w:p>
    <w:p w14:paraId="462A8A93" w14:textId="77777777" w:rsidR="00E23600" w:rsidRDefault="00E23600" w:rsidP="00E23600">
      <w:pPr>
        <w:pStyle w:val="A-Grundtext"/>
      </w:pPr>
      <w:r>
        <w:t xml:space="preserve">Eingeklagt werden aber das Werkvertragsverhältnis betreffende Auskunfts- und später ggf. zu beziffernde dem Zedenten zustehende Zahlungsansprüche gegen die Beklagte. Das ist pures „Werkvertragsrecht rückwärts“. </w:t>
      </w:r>
    </w:p>
    <w:p w14:paraId="69130D48" w14:textId="77777777" w:rsidR="00E23600" w:rsidRDefault="00E23600" w:rsidP="00E23600">
      <w:pPr>
        <w:pStyle w:val="A-Grundtext"/>
      </w:pPr>
    </w:p>
    <w:p w14:paraId="1AF161DE" w14:textId="77777777" w:rsidR="00E23600" w:rsidRDefault="00E23600" w:rsidP="00E23600">
      <w:pPr>
        <w:pStyle w:val="A-Grundtext"/>
      </w:pPr>
      <w:r>
        <w:t>Der Zedent hatte zu keiner Zeit „das Werkstattrisiko betreffende Ersatzansprüche gegen die Werkstatt“, konnte also auch keine abtreten. Bedenkt man, wie die Klägerin auf kleinste Ungereimtheiten in Abtretungen von Schadenersatzan­sprüchen aus dem Verkehrsunfall an z. B. eine Werkstatt und einer Klage daraus gegen sie reagiert und dort das Haar in der Abtretungssuppe sucht, ist diese die Grundlagen vermischende Unverständlichkeit (§ 307 Abs. 1. S. 2 BGB) in dem von ihr zur wiederkehrenden Verwendung vorformulierten und der Zedentin gestellten Abtretungsformular (§ 305 BGB) kaum nachvollziehbar.</w:t>
      </w:r>
    </w:p>
    <w:p w14:paraId="39444BE7" w14:textId="77777777" w:rsidR="00E23600" w:rsidRDefault="00E23600" w:rsidP="00E23600">
      <w:pPr>
        <w:pStyle w:val="A-Grundtext"/>
      </w:pPr>
    </w:p>
    <w:p w14:paraId="0C20B6FC" w14:textId="77777777" w:rsidR="00E23600" w:rsidRDefault="00E23600" w:rsidP="00E23600">
      <w:pPr>
        <w:pStyle w:val="A-Grundtext"/>
      </w:pPr>
      <w:r>
        <w:t xml:space="preserve">Insoweit verweisen wir auch auf das zu einer früheren Version der von der HUK formularmäßig verwendeten Vorteilsausgleichsabtretung ergangene Urteil des AG Kulmbach, Urteil vom 19.09.2025, Az. 70 C 359/24. </w:t>
      </w:r>
    </w:p>
    <w:p w14:paraId="5E18A1C2" w14:textId="77777777" w:rsidR="00E23600" w:rsidRDefault="00E23600" w:rsidP="00E23600">
      <w:pPr>
        <w:pStyle w:val="A-Grundtext"/>
      </w:pPr>
    </w:p>
    <w:p w14:paraId="545A496F" w14:textId="720282DD" w:rsidR="00AE07BD" w:rsidRDefault="00E23600" w:rsidP="00E23600">
      <w:pPr>
        <w:pStyle w:val="A-Grundtext"/>
      </w:pPr>
      <w:r>
        <w:t>Dem Urteil kann ebenfalls entnommen werden, warum der Reparaturvertrag der Werkstatt mit dem Zedenten kein Vertrag mit Schutzwirkung zugunsten Dritter ist. Eine Zahlung auf eine überhöhte Reparaturrechnung – wenn sie denn vorliegt – kann der Kunde (Zedent) vom Leistungserbringer Werkstatt (Beklagter) zurück­fordern. Diesen Rückforderungsanspruch kann er an den Versicherer (Zessionar) abtreten. Das ist der alles entscheidende Unterschied, und deswegen liegt seit der wegweisenden Entscheidung des BGH vom 29.10.1974, Az. VI ZR 42/73, zitiert in NJW 1975, S. 160 ff keine Schutzlücke vor, die mit der richterrechtlichen Erfindung des Vertrags mit Schutzwirkung Dritter zu schließen sei.</w:t>
      </w:r>
    </w:p>
    <w:p w14:paraId="26C00D4E" w14:textId="77777777" w:rsidR="00AE07BD" w:rsidRDefault="00AE07BD" w:rsidP="00A033C2">
      <w:pPr>
        <w:pStyle w:val="A-Grundtext"/>
      </w:pPr>
    </w:p>
    <w:p w14:paraId="7FFDCD10" w14:textId="77777777" w:rsidR="00E23600" w:rsidRDefault="00E23600" w:rsidP="00E23600">
      <w:pPr>
        <w:pStyle w:val="A-Grundtext"/>
      </w:pPr>
      <w:r>
        <w:t>Die Anwendung des „Vertrags mit Schutzwirkung zugunsten Dritter“ setzt aber eine Schutzlücke voraus.</w:t>
      </w:r>
    </w:p>
    <w:p w14:paraId="46B0D3A0" w14:textId="77777777" w:rsidR="00E23600" w:rsidRDefault="00E23600" w:rsidP="00E23600">
      <w:pPr>
        <w:pStyle w:val="A-Grundtext"/>
      </w:pPr>
    </w:p>
    <w:p w14:paraId="3AD79E2D" w14:textId="08B381DC" w:rsidR="006C5A05" w:rsidRDefault="00E23600" w:rsidP="00E23600">
      <w:pPr>
        <w:pStyle w:val="A-Grundtext"/>
      </w:pPr>
      <w:r>
        <w:t>Schon der BGH hatte den deutlichen Hinweis gegeben, dass aus Sicht des Senats unter Berücksichtigung der von der Rechtsprechung für den Vertrag mit Schutzwirkung für Dritte entwickelten Grundsätze nicht ohne Weiteres davon auszugehen sei, dass der Reparaturvertrag des Geschädigten mit der Werkstatt ein Vertrag mit Schutzwirkung zugunsten des Versicherers ist (BGH, Urteil vom 16.01.2024, Az. VI ZR 253/22).</w:t>
      </w: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lastRenderedPageBreak/>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5A61" w14:textId="77777777" w:rsidR="00D6158F" w:rsidRDefault="00D6158F" w:rsidP="00B2150E">
      <w:pPr>
        <w:spacing w:after="0" w:line="240" w:lineRule="auto"/>
      </w:pPr>
      <w:r>
        <w:separator/>
      </w:r>
    </w:p>
  </w:endnote>
  <w:endnote w:type="continuationSeparator" w:id="0">
    <w:p w14:paraId="777CCC00" w14:textId="77777777" w:rsidR="00D6158F" w:rsidRDefault="00D6158F"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5BE0CC46"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E23600">
      <w:rPr>
        <w:rFonts w:ascii="Arial" w:hAnsi="Arial" w:cs="Arial"/>
        <w:sz w:val="16"/>
        <w:szCs w:val="16"/>
      </w:rPr>
      <w:t>50565053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738E" w14:textId="77777777" w:rsidR="00D6158F" w:rsidRDefault="00D6158F" w:rsidP="00B2150E">
      <w:pPr>
        <w:spacing w:after="0" w:line="240" w:lineRule="auto"/>
      </w:pPr>
      <w:r>
        <w:separator/>
      </w:r>
    </w:p>
  </w:footnote>
  <w:footnote w:type="continuationSeparator" w:id="0">
    <w:p w14:paraId="6EBCA740" w14:textId="77777777" w:rsidR="00D6158F" w:rsidRDefault="00D6158F"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4033C6"/>
    <w:rsid w:val="0045307A"/>
    <w:rsid w:val="00453096"/>
    <w:rsid w:val="004C5C22"/>
    <w:rsid w:val="004D2AB7"/>
    <w:rsid w:val="004F4EA0"/>
    <w:rsid w:val="00544206"/>
    <w:rsid w:val="005753C2"/>
    <w:rsid w:val="00593354"/>
    <w:rsid w:val="005B24EC"/>
    <w:rsid w:val="005C53E8"/>
    <w:rsid w:val="00610AFA"/>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C24B7"/>
    <w:rsid w:val="00AD044E"/>
    <w:rsid w:val="00AD68A2"/>
    <w:rsid w:val="00AE07BD"/>
    <w:rsid w:val="00AF49EB"/>
    <w:rsid w:val="00B06839"/>
    <w:rsid w:val="00B1645A"/>
    <w:rsid w:val="00B2150E"/>
    <w:rsid w:val="00B55676"/>
    <w:rsid w:val="00B9664D"/>
    <w:rsid w:val="00BC1A18"/>
    <w:rsid w:val="00CF57DB"/>
    <w:rsid w:val="00D45578"/>
    <w:rsid w:val="00D6158F"/>
    <w:rsid w:val="00D6407F"/>
    <w:rsid w:val="00D945D3"/>
    <w:rsid w:val="00DA1E2A"/>
    <w:rsid w:val="00DC6EAC"/>
    <w:rsid w:val="00E06B60"/>
    <w:rsid w:val="00E102A2"/>
    <w:rsid w:val="00E23600"/>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2681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10</cp:revision>
  <cp:lastPrinted>2023-12-04T11:30:00Z</cp:lastPrinted>
  <dcterms:created xsi:type="dcterms:W3CDTF">2022-08-04T11:26:00Z</dcterms:created>
  <dcterms:modified xsi:type="dcterms:W3CDTF">2025-09-26T13:12:00Z</dcterms:modified>
</cp:coreProperties>
</file>