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34A77BC9" w:rsidR="00901837" w:rsidRPr="00575418" w:rsidRDefault="00B55676" w:rsidP="00901837">
      <w:pPr>
        <w:pStyle w:val="A-Dachzeile"/>
        <w:rPr>
          <w:rFonts w:cs="Arial"/>
        </w:rPr>
      </w:pPr>
      <w:r w:rsidRPr="00575418">
        <w:rPr>
          <w:rFonts w:cs="Arial"/>
        </w:rPr>
        <w:t xml:space="preserve">Download-Dokument | </w:t>
      </w:r>
      <w:r w:rsidR="0087647C" w:rsidRPr="00575418">
        <w:rPr>
          <w:rFonts w:cs="Arial"/>
        </w:rPr>
        <w:t>Quelle</w:t>
      </w:r>
      <w:r w:rsidR="00901837" w:rsidRPr="00575418">
        <w:rPr>
          <w:rFonts w:cs="Arial"/>
        </w:rPr>
        <w:t xml:space="preserve">: </w:t>
      </w:r>
      <w:r w:rsidR="0065771A" w:rsidRPr="00575418">
        <w:rPr>
          <w:rFonts w:cs="Arial"/>
        </w:rPr>
        <w:t>UE 9/2025</w:t>
      </w:r>
    </w:p>
    <w:p w14:paraId="0511E929" w14:textId="17FFE44E" w:rsidR="00901837" w:rsidRPr="00575418" w:rsidRDefault="0065771A" w:rsidP="00A033C2">
      <w:pPr>
        <w:pStyle w:val="A-berschriftgro"/>
        <w:rPr>
          <w:rFonts w:ascii="Arial" w:hAnsi="Arial" w:cs="Arial"/>
        </w:rPr>
      </w:pPr>
      <w:r w:rsidRPr="00575418">
        <w:rPr>
          <w:rFonts w:ascii="Arial" w:hAnsi="Arial" w:cs="Arial"/>
        </w:rPr>
        <w:t xml:space="preserve">643: Freistellung gegen Vorteilsausgleich </w:t>
      </w:r>
      <w:r w:rsidRPr="00575418">
        <w:rPr>
          <w:rFonts w:ascii="Arial" w:hAnsi="Arial" w:cs="Arial"/>
        </w:rPr>
        <w:br/>
        <w:t xml:space="preserve">genügt nicht </w:t>
      </w:r>
    </w:p>
    <w:p w14:paraId="1B2A77AE" w14:textId="77777777" w:rsidR="00901837" w:rsidRPr="00575418" w:rsidRDefault="00901837" w:rsidP="00901837">
      <w:pPr>
        <w:pStyle w:val="A-Grundtext"/>
      </w:pPr>
    </w:p>
    <w:p w14:paraId="473E0103" w14:textId="77777777" w:rsidR="00453096" w:rsidRPr="00575418" w:rsidRDefault="00453096" w:rsidP="00901837">
      <w:pPr>
        <w:pStyle w:val="A-Grundtext"/>
      </w:pPr>
    </w:p>
    <w:p w14:paraId="30B9AFC6" w14:textId="77777777" w:rsidR="00901837" w:rsidRPr="00575418" w:rsidRDefault="00901837" w:rsidP="00901837">
      <w:pPr>
        <w:pStyle w:val="A-berschriftklein"/>
        <w:rPr>
          <w:caps/>
        </w:rPr>
      </w:pPr>
      <w:r w:rsidRPr="00575418">
        <w:rPr>
          <w:caps/>
        </w:rPr>
        <w:t>Musterformulierung</w:t>
      </w:r>
    </w:p>
    <w:p w14:paraId="5E99170B" w14:textId="77777777" w:rsidR="00901837" w:rsidRPr="00575418" w:rsidRDefault="00901837" w:rsidP="00A033C2">
      <w:pPr>
        <w:pStyle w:val="A-Grundtext"/>
        <w:rPr>
          <w:szCs w:val="21"/>
        </w:rPr>
      </w:pPr>
    </w:p>
    <w:p w14:paraId="65B9FE4C" w14:textId="6ED50F0D" w:rsidR="00575418" w:rsidRPr="00575418" w:rsidRDefault="00575418" w:rsidP="00575418">
      <w:pPr>
        <w:pStyle w:val="Listenabsatz"/>
        <w:numPr>
          <w:ilvl w:val="0"/>
          <w:numId w:val="7"/>
        </w:numPr>
        <w:spacing w:after="0"/>
        <w:ind w:right="1701"/>
        <w:jc w:val="both"/>
        <w:rPr>
          <w:rFonts w:ascii="Arial" w:hAnsi="Arial" w:cs="Arial"/>
          <w:sz w:val="21"/>
          <w:szCs w:val="21"/>
        </w:rPr>
      </w:pPr>
      <w:r w:rsidRPr="00575418">
        <w:rPr>
          <w:rFonts w:ascii="Arial" w:hAnsi="Arial" w:cs="Arial"/>
          <w:sz w:val="21"/>
          <w:szCs w:val="21"/>
        </w:rPr>
        <w:t>Die Beklagte meint, der Kläger habe nur einen Freistellungsantrag gegen sie, hingegen keinen Zahlungsanspruch.</w:t>
      </w:r>
    </w:p>
    <w:p w14:paraId="2B5DA817" w14:textId="77777777" w:rsidR="00575418" w:rsidRPr="00575418" w:rsidRDefault="00575418" w:rsidP="00575418">
      <w:pPr>
        <w:spacing w:after="0"/>
        <w:ind w:right="1701"/>
        <w:jc w:val="both"/>
        <w:rPr>
          <w:rFonts w:ascii="Arial" w:hAnsi="Arial" w:cs="Arial"/>
          <w:sz w:val="21"/>
          <w:szCs w:val="21"/>
        </w:rPr>
      </w:pPr>
    </w:p>
    <w:p w14:paraId="43064535" w14:textId="77777777" w:rsidR="00575418" w:rsidRPr="00575418" w:rsidRDefault="00575418" w:rsidP="00575418">
      <w:pPr>
        <w:spacing w:after="0"/>
        <w:ind w:right="1701"/>
        <w:jc w:val="both"/>
        <w:rPr>
          <w:rFonts w:ascii="Arial" w:hAnsi="Arial" w:cs="Arial"/>
          <w:sz w:val="21"/>
          <w:szCs w:val="21"/>
        </w:rPr>
      </w:pPr>
      <w:r w:rsidRPr="00575418">
        <w:rPr>
          <w:rFonts w:ascii="Arial" w:hAnsi="Arial" w:cs="Arial"/>
          <w:sz w:val="21"/>
          <w:szCs w:val="21"/>
        </w:rPr>
        <w:t xml:space="preserve">Das ist unzutreffend. </w:t>
      </w:r>
    </w:p>
    <w:p w14:paraId="6299EDB3" w14:textId="77777777" w:rsidR="00575418" w:rsidRPr="00575418" w:rsidRDefault="00575418" w:rsidP="00575418">
      <w:pPr>
        <w:spacing w:after="0"/>
        <w:ind w:right="1701"/>
        <w:jc w:val="both"/>
        <w:rPr>
          <w:rFonts w:ascii="Arial" w:hAnsi="Arial" w:cs="Arial"/>
          <w:sz w:val="21"/>
          <w:szCs w:val="21"/>
        </w:rPr>
      </w:pPr>
    </w:p>
    <w:p w14:paraId="4640D800" w14:textId="77777777" w:rsidR="00575418" w:rsidRPr="00575418" w:rsidRDefault="00575418" w:rsidP="00575418">
      <w:pPr>
        <w:spacing w:after="0"/>
        <w:ind w:right="1701"/>
        <w:jc w:val="both"/>
        <w:rPr>
          <w:rFonts w:ascii="Arial" w:hAnsi="Arial" w:cs="Arial"/>
          <w:sz w:val="21"/>
          <w:szCs w:val="21"/>
        </w:rPr>
      </w:pPr>
      <w:r w:rsidRPr="00575418">
        <w:rPr>
          <w:rFonts w:ascii="Arial" w:hAnsi="Arial" w:cs="Arial"/>
          <w:sz w:val="21"/>
          <w:szCs w:val="21"/>
        </w:rPr>
        <w:t>Dem Geschädigten (nicht dem Schädiger!)  steht es frei, zu wählen, ob er von dem Schädiger den vorliegend durch die Klägerin geltend gemachten Zahlungsanspruch verbunden mit einer Zahlung an den Rechnungssteller oder einen Anspruch auf Befreiung von einer Verbindlichkeit, nämlich seiner Zahlungsverpflichtung gegenüber dem Rechnungssteller, verlangt (vgl. BGH, Urteil vom 12.03.2024, Az. VI ZR 280/22). Im letzteren Fall trüge – so der BGH ebenda - der Geschädigte allerdings das Sachverständigenrisiko selbst, weil sich der Freistellungsanspruch an der werkvertraglichen Beziehung zwischen dem Geschädigtem und dem Sachverständigen orientiert.</w:t>
      </w:r>
    </w:p>
    <w:p w14:paraId="40AB4806" w14:textId="77777777" w:rsidR="00575418" w:rsidRPr="00575418" w:rsidRDefault="00575418" w:rsidP="00575418">
      <w:pPr>
        <w:spacing w:after="0"/>
        <w:ind w:right="1701"/>
        <w:jc w:val="both"/>
        <w:rPr>
          <w:rFonts w:ascii="Arial" w:hAnsi="Arial" w:cs="Arial"/>
          <w:sz w:val="21"/>
          <w:szCs w:val="21"/>
        </w:rPr>
      </w:pPr>
    </w:p>
    <w:p w14:paraId="05F6E7B9" w14:textId="77777777" w:rsidR="00575418" w:rsidRPr="00575418" w:rsidRDefault="00575418" w:rsidP="00575418">
      <w:pPr>
        <w:spacing w:after="0"/>
        <w:ind w:right="1701"/>
        <w:jc w:val="both"/>
        <w:rPr>
          <w:rFonts w:ascii="Arial" w:hAnsi="Arial" w:cs="Arial"/>
          <w:sz w:val="21"/>
          <w:szCs w:val="21"/>
        </w:rPr>
      </w:pPr>
      <w:r w:rsidRPr="00575418">
        <w:rPr>
          <w:rFonts w:ascii="Arial" w:hAnsi="Arial" w:cs="Arial"/>
          <w:sz w:val="21"/>
          <w:szCs w:val="21"/>
        </w:rPr>
        <w:t>Die Rechtsprechung des BGH ist da insgesamt eindeutig:</w:t>
      </w:r>
    </w:p>
    <w:p w14:paraId="6C245A01" w14:textId="77777777" w:rsidR="00575418" w:rsidRPr="00575418" w:rsidRDefault="00575418" w:rsidP="00575418">
      <w:pPr>
        <w:spacing w:after="0"/>
        <w:ind w:right="1701"/>
        <w:jc w:val="both"/>
        <w:rPr>
          <w:rFonts w:ascii="Arial" w:hAnsi="Arial" w:cs="Arial"/>
          <w:sz w:val="21"/>
          <w:szCs w:val="21"/>
        </w:rPr>
      </w:pPr>
    </w:p>
    <w:p w14:paraId="499DC23D" w14:textId="77777777" w:rsidR="00575418" w:rsidRPr="00575418" w:rsidRDefault="00575418" w:rsidP="00575418">
      <w:pPr>
        <w:spacing w:after="0"/>
        <w:ind w:right="1701"/>
        <w:jc w:val="both"/>
        <w:rPr>
          <w:rFonts w:ascii="Arial" w:hAnsi="Arial" w:cs="Arial"/>
          <w:sz w:val="21"/>
          <w:szCs w:val="21"/>
        </w:rPr>
      </w:pPr>
      <w:r w:rsidRPr="00575418">
        <w:rPr>
          <w:rFonts w:ascii="Arial" w:hAnsi="Arial" w:cs="Arial"/>
          <w:sz w:val="21"/>
          <w:szCs w:val="21"/>
        </w:rPr>
        <w:t>Die Rechtsprechung des BGH ist da jedoch völlig eindeutig: Wenn der Versicherer eine Erstattung der geltend gemachten Schadenpositionen ganz oder teilweise ablehnt, ist es ständige Rechtsprechung des BGH quer durch die Senate:</w:t>
      </w:r>
    </w:p>
    <w:p w14:paraId="44316AF6" w14:textId="77777777" w:rsidR="00575418" w:rsidRPr="00575418" w:rsidRDefault="00575418" w:rsidP="00575418">
      <w:pPr>
        <w:spacing w:after="0"/>
        <w:ind w:right="1701"/>
        <w:jc w:val="both"/>
        <w:rPr>
          <w:rFonts w:ascii="Arial" w:hAnsi="Arial" w:cs="Arial"/>
          <w:sz w:val="21"/>
          <w:szCs w:val="21"/>
        </w:rPr>
      </w:pPr>
    </w:p>
    <w:p w14:paraId="36E1402D" w14:textId="77777777" w:rsidR="00575418" w:rsidRPr="00575418" w:rsidRDefault="00575418" w:rsidP="00575418">
      <w:pPr>
        <w:spacing w:after="0"/>
        <w:ind w:right="1701"/>
        <w:jc w:val="both"/>
        <w:rPr>
          <w:rFonts w:ascii="Arial" w:hAnsi="Arial" w:cs="Arial"/>
          <w:sz w:val="21"/>
          <w:szCs w:val="21"/>
        </w:rPr>
      </w:pPr>
      <w:r w:rsidRPr="00575418">
        <w:rPr>
          <w:rFonts w:ascii="Arial" w:hAnsi="Arial" w:cs="Arial"/>
          <w:sz w:val="21"/>
          <w:szCs w:val="21"/>
        </w:rPr>
        <w:t>„Ein Freistellungsanspruch wandelt sich in einen Zahlungsanspruch des Geschädigten um, wenn der Schädiger jeden Schadensersatz ernsthaft und endgültig verweigert und der Geschädigte Geldersatz fordert.“ (BGH, Urteil vom 13.01.2004, Az. XI ZR 355/02).</w:t>
      </w:r>
    </w:p>
    <w:p w14:paraId="7A67CBE5" w14:textId="77777777" w:rsidR="00575418" w:rsidRPr="00575418" w:rsidRDefault="00575418" w:rsidP="00575418">
      <w:pPr>
        <w:spacing w:after="0"/>
        <w:ind w:right="1701"/>
        <w:jc w:val="both"/>
        <w:rPr>
          <w:rFonts w:ascii="Arial" w:hAnsi="Arial" w:cs="Arial"/>
          <w:sz w:val="21"/>
          <w:szCs w:val="21"/>
        </w:rPr>
      </w:pPr>
    </w:p>
    <w:p w14:paraId="7B061051" w14:textId="77777777" w:rsidR="00575418" w:rsidRPr="00575418" w:rsidRDefault="00575418" w:rsidP="00575418">
      <w:pPr>
        <w:spacing w:after="0"/>
        <w:ind w:right="1701"/>
        <w:jc w:val="both"/>
        <w:rPr>
          <w:rFonts w:ascii="Arial" w:hAnsi="Arial" w:cs="Arial"/>
          <w:sz w:val="21"/>
          <w:szCs w:val="21"/>
        </w:rPr>
      </w:pPr>
      <w:r w:rsidRPr="00575418">
        <w:rPr>
          <w:rFonts w:ascii="Arial" w:hAnsi="Arial" w:cs="Arial"/>
          <w:sz w:val="21"/>
          <w:szCs w:val="21"/>
        </w:rPr>
        <w:t>Im Text der Entscheidung wird ausgeführt: „Darauf kommt es nicht entscheidend an, weil ein etwaiger Befreiungsanspruch gemäß § 250 Satz 2 BGB in einen Geldanspruch übergegangen ist. Diese Vorschrift eröffnet dem Geschädigten die Möglichkeit, unabhängig von den §§ 249 Abs. 2, 251 BGB zu einem Anspruch auf Geldersatz zu gelangen, wenn er dem Ersatzpflichtigen erfolglos eine Frist zur Herstellung, d.h. hier Haftungsfreistellung, mit Ablehnungsandrohung setzt. Dem steht es nach ständiger Rechtsprechung des Bundesgerichtshofs gleich, wenn der Schuldner die geforderte Herstellung oder überhaupt jeden Schadensersatz ernsthaft und endgültig verweigert. Dann wandelt sich der Freistellungsanspruch in einen Zahlungsanspruch um, wenn der Geschädigte Geldersatz fordert (BGH, Urteile vom 7. Januar 1965 - VII ZR 28/63, WM 1965, 287, 289, vom 11. Juni 1986 - VIII ZR 153/85, WM 1986, 1115, 1117, vom 26. Februar 1991 - XI ZR 331/89, WM 1991, 1002, vom 29. April 1992 - VIII ZR 77/91, WM 1992, 1074, 1076, vom 12. März 1993 - V ZR 69/92, WM 1993, 1557, 1559 f., vom 31. Januar 1996 - VIII ZR 243/94, WM 1996, 1282, 1283 und vom 10. Februar 1999 - VIII ZR 70/98, WM 1999, 779, 781).“</w:t>
      </w:r>
    </w:p>
    <w:p w14:paraId="32ACE4A5" w14:textId="77777777" w:rsidR="00575418" w:rsidRPr="00575418" w:rsidRDefault="00575418" w:rsidP="00575418">
      <w:pPr>
        <w:spacing w:after="0"/>
        <w:ind w:right="1701"/>
        <w:jc w:val="both"/>
        <w:rPr>
          <w:rFonts w:ascii="Arial" w:hAnsi="Arial" w:cs="Arial"/>
          <w:sz w:val="21"/>
          <w:szCs w:val="21"/>
        </w:rPr>
      </w:pPr>
    </w:p>
    <w:p w14:paraId="2DCC531A" w14:textId="77777777" w:rsidR="00575418" w:rsidRPr="00575418" w:rsidRDefault="00575418" w:rsidP="00575418">
      <w:pPr>
        <w:spacing w:after="0"/>
        <w:ind w:right="1701"/>
        <w:jc w:val="both"/>
        <w:rPr>
          <w:rFonts w:ascii="Arial" w:hAnsi="Arial" w:cs="Arial"/>
          <w:sz w:val="21"/>
          <w:szCs w:val="21"/>
        </w:rPr>
      </w:pPr>
      <w:r w:rsidRPr="00575418">
        <w:rPr>
          <w:rFonts w:ascii="Arial" w:hAnsi="Arial" w:cs="Arial"/>
          <w:sz w:val="21"/>
          <w:szCs w:val="21"/>
        </w:rPr>
        <w:t>Da der Kläger hier Geld nach § 249 Abs. 2 Satz 1 BGB und nicht die Herstellung durch den Schädiger selbst nach § 249 Abs. 1 BGB verlangt, liegen bei (Teil-)Ablehnung des Versicherers sämtliche Voraussetzungen vor, dass sich der Anspruch des Geschädigten in einen Zahlungsanspruch umwandelt.</w:t>
      </w:r>
    </w:p>
    <w:p w14:paraId="129CD906" w14:textId="77777777" w:rsidR="00575418" w:rsidRPr="00575418" w:rsidRDefault="00575418" w:rsidP="00575418">
      <w:pPr>
        <w:spacing w:after="0"/>
        <w:ind w:right="1701"/>
        <w:jc w:val="both"/>
        <w:rPr>
          <w:rFonts w:ascii="Arial" w:hAnsi="Arial" w:cs="Arial"/>
          <w:sz w:val="21"/>
          <w:szCs w:val="21"/>
        </w:rPr>
      </w:pPr>
    </w:p>
    <w:p w14:paraId="47D10A8B" w14:textId="2EF41AF4" w:rsidR="00575418" w:rsidRPr="00575418" w:rsidRDefault="00575418" w:rsidP="00575418">
      <w:pPr>
        <w:pStyle w:val="Listenabsatz"/>
        <w:numPr>
          <w:ilvl w:val="0"/>
          <w:numId w:val="7"/>
        </w:numPr>
        <w:spacing w:after="0"/>
        <w:ind w:right="1701"/>
        <w:jc w:val="both"/>
        <w:rPr>
          <w:rFonts w:ascii="Arial" w:hAnsi="Arial" w:cs="Arial"/>
          <w:sz w:val="21"/>
          <w:szCs w:val="21"/>
        </w:rPr>
      </w:pPr>
      <w:r w:rsidRPr="00575418">
        <w:rPr>
          <w:rFonts w:ascii="Arial" w:hAnsi="Arial" w:cs="Arial"/>
          <w:sz w:val="21"/>
          <w:szCs w:val="21"/>
        </w:rPr>
        <w:t>Mit einer Freistellung ist dem Kläger auch nicht gedient. Er bleibt dann nämlich in der Schusslinie.</w:t>
      </w:r>
    </w:p>
    <w:p w14:paraId="0C25C1B2" w14:textId="77777777" w:rsidR="00575418" w:rsidRDefault="00575418" w:rsidP="00575418">
      <w:pPr>
        <w:spacing w:after="0"/>
        <w:ind w:right="1701"/>
        <w:jc w:val="both"/>
        <w:rPr>
          <w:rFonts w:ascii="Arial" w:hAnsi="Arial" w:cs="Arial"/>
          <w:sz w:val="21"/>
          <w:szCs w:val="21"/>
        </w:rPr>
      </w:pPr>
    </w:p>
    <w:p w14:paraId="398E4F23" w14:textId="62C3C9E8" w:rsidR="00575418" w:rsidRPr="00575418" w:rsidRDefault="00575418" w:rsidP="00575418">
      <w:pPr>
        <w:spacing w:after="0"/>
        <w:ind w:left="360" w:right="1701"/>
        <w:jc w:val="both"/>
        <w:rPr>
          <w:rFonts w:ascii="Arial" w:hAnsi="Arial" w:cs="Arial"/>
          <w:sz w:val="21"/>
          <w:szCs w:val="21"/>
        </w:rPr>
      </w:pPr>
      <w:r w:rsidRPr="00575418">
        <w:rPr>
          <w:rFonts w:ascii="Arial" w:hAnsi="Arial" w:cs="Arial"/>
          <w:sz w:val="21"/>
          <w:szCs w:val="21"/>
        </w:rPr>
        <w:t>Das Ziel der Beklagten ist doch völlig offensichtlich: Sie will nicht in voller Höhe zahlen müssen, um dann auf für sie unerfreuliche, vom BGH aber als den richtigen Weg angesehene Weise gegen den Schadengutachter den Teilbetrag, den sie für zu viel hält, regressieren zu müssen.</w:t>
      </w:r>
    </w:p>
    <w:p w14:paraId="237EC6FC" w14:textId="77777777" w:rsidR="00575418" w:rsidRPr="00575418" w:rsidRDefault="00575418" w:rsidP="00575418">
      <w:pPr>
        <w:spacing w:after="0"/>
        <w:ind w:left="360" w:right="1701"/>
        <w:jc w:val="both"/>
        <w:rPr>
          <w:rFonts w:ascii="Arial" w:hAnsi="Arial" w:cs="Arial"/>
          <w:sz w:val="21"/>
          <w:szCs w:val="21"/>
        </w:rPr>
      </w:pPr>
    </w:p>
    <w:p w14:paraId="51A48025" w14:textId="77777777" w:rsidR="00575418" w:rsidRPr="00575418" w:rsidRDefault="00575418" w:rsidP="00575418">
      <w:pPr>
        <w:spacing w:after="0"/>
        <w:ind w:left="360" w:right="1701"/>
        <w:jc w:val="both"/>
        <w:rPr>
          <w:rFonts w:ascii="Arial" w:hAnsi="Arial" w:cs="Arial"/>
          <w:sz w:val="21"/>
          <w:szCs w:val="21"/>
        </w:rPr>
      </w:pPr>
      <w:r w:rsidRPr="00575418">
        <w:rPr>
          <w:rFonts w:ascii="Arial" w:hAnsi="Arial" w:cs="Arial"/>
          <w:sz w:val="21"/>
          <w:szCs w:val="21"/>
        </w:rPr>
        <w:t>Sie will sich offensichtlich in eine Position setzen, aus eigener Kraft mit dem Schadengutachter über die Zahlung zu diskutieren.</w:t>
      </w:r>
    </w:p>
    <w:p w14:paraId="2ED4FA09" w14:textId="77777777" w:rsidR="00575418" w:rsidRPr="00575418" w:rsidRDefault="00575418" w:rsidP="00575418">
      <w:pPr>
        <w:spacing w:after="0"/>
        <w:ind w:left="360" w:right="1701"/>
        <w:jc w:val="both"/>
        <w:rPr>
          <w:rFonts w:ascii="Arial" w:hAnsi="Arial" w:cs="Arial"/>
          <w:sz w:val="21"/>
          <w:szCs w:val="21"/>
        </w:rPr>
      </w:pPr>
    </w:p>
    <w:p w14:paraId="3B890901" w14:textId="7D09D1AE" w:rsidR="00575418" w:rsidRPr="00575418" w:rsidRDefault="00575418" w:rsidP="00575418">
      <w:pPr>
        <w:spacing w:after="0"/>
        <w:ind w:left="360" w:right="1701"/>
        <w:jc w:val="both"/>
        <w:rPr>
          <w:rFonts w:ascii="Arial" w:hAnsi="Arial" w:cs="Arial"/>
          <w:sz w:val="21"/>
          <w:szCs w:val="21"/>
        </w:rPr>
      </w:pPr>
      <w:r w:rsidRPr="00575418">
        <w:rPr>
          <w:rFonts w:ascii="Arial" w:hAnsi="Arial" w:cs="Arial"/>
          <w:sz w:val="21"/>
          <w:szCs w:val="21"/>
        </w:rPr>
        <w:t xml:space="preserve">Nur: Warum soll sich der Schadengutachter darauf einlassen? Dann nimmt er – aus seiner Sicht erfolgversprechender - eben den eigenen Kunden (hier: den Kläger) in Anspruch. Und schon ist der Kläger dort, wo er nicht </w:t>
      </w:r>
      <w:r w:rsidR="00D64F2A" w:rsidRPr="00575418">
        <w:rPr>
          <w:rFonts w:ascii="Arial" w:hAnsi="Arial" w:cs="Arial"/>
          <w:sz w:val="21"/>
          <w:szCs w:val="21"/>
        </w:rPr>
        <w:t>hinsoll</w:t>
      </w:r>
      <w:r w:rsidRPr="00575418">
        <w:rPr>
          <w:rFonts w:ascii="Arial" w:hAnsi="Arial" w:cs="Arial"/>
          <w:sz w:val="21"/>
          <w:szCs w:val="21"/>
        </w:rPr>
        <w:t>: Zwischen den Stühlen von Schadengutachter und Versicherer.</w:t>
      </w:r>
    </w:p>
    <w:p w14:paraId="132B4E1F" w14:textId="77777777" w:rsidR="00575418" w:rsidRPr="00575418" w:rsidRDefault="00575418" w:rsidP="00575418">
      <w:pPr>
        <w:spacing w:after="0"/>
        <w:ind w:left="360" w:right="1701"/>
        <w:jc w:val="both"/>
        <w:rPr>
          <w:rFonts w:ascii="Arial" w:hAnsi="Arial" w:cs="Arial"/>
          <w:sz w:val="21"/>
          <w:szCs w:val="21"/>
        </w:rPr>
      </w:pPr>
    </w:p>
    <w:p w14:paraId="7F60BE2B" w14:textId="7F879490" w:rsidR="00575418" w:rsidRPr="00575418" w:rsidRDefault="00575418" w:rsidP="00575418">
      <w:pPr>
        <w:spacing w:after="0"/>
        <w:ind w:left="360" w:right="1701"/>
        <w:jc w:val="both"/>
        <w:rPr>
          <w:rFonts w:ascii="Arial" w:hAnsi="Arial" w:cs="Arial"/>
          <w:sz w:val="21"/>
          <w:szCs w:val="21"/>
        </w:rPr>
      </w:pPr>
      <w:r w:rsidRPr="00575418">
        <w:rPr>
          <w:rFonts w:ascii="Arial" w:hAnsi="Arial" w:cs="Arial"/>
          <w:sz w:val="21"/>
          <w:szCs w:val="21"/>
        </w:rPr>
        <w:t>Dann muss er sich mit den Ansprüchen des Schadengutachters gegen ihn, der dann nicht mehr Kläger, sondern Beklagter ist, auseinandersetzen. Selbst wenn der Versicherer hoch und heilig verspräche, ihm dann anwaltlichen Beistand zu stellen, ist das sehr bedenklich. Denn die von Versicherern ins Feld geschickten Anwälte vertreten häufig – wie auch hier – mindestens sonderbare Rechtsmeinungen. Und dass sie Werkvertragsrecht in</w:t>
      </w:r>
      <w:r w:rsidR="00D64F2A">
        <w:rPr>
          <w:rFonts w:ascii="Arial" w:hAnsi="Arial" w:cs="Arial"/>
          <w:sz w:val="21"/>
          <w:szCs w:val="21"/>
        </w:rPr>
        <w:t xml:space="preserve"> </w:t>
      </w:r>
      <w:r w:rsidRPr="00575418">
        <w:rPr>
          <w:rFonts w:ascii="Arial" w:hAnsi="Arial" w:cs="Arial"/>
          <w:sz w:val="21"/>
          <w:szCs w:val="21"/>
        </w:rPr>
        <w:t>gesteigerte</w:t>
      </w:r>
      <w:r w:rsidR="00D64F2A">
        <w:rPr>
          <w:rFonts w:ascii="Arial" w:hAnsi="Arial" w:cs="Arial"/>
          <w:sz w:val="21"/>
          <w:szCs w:val="21"/>
        </w:rPr>
        <w:t>m</w:t>
      </w:r>
      <w:r w:rsidRPr="00575418">
        <w:rPr>
          <w:rFonts w:ascii="Arial" w:hAnsi="Arial" w:cs="Arial"/>
          <w:sz w:val="21"/>
          <w:szCs w:val="21"/>
        </w:rPr>
        <w:t xml:space="preserve"> Maße verinnerlicht haben, ist inzwischen auch zweifelhaft, denn die Regressverfahren Versicherer gegen Werkstatt sind „Werkvertragsrecht rückwärts“. Und was man da gelegentlich liest, ist abenteuerlich.</w:t>
      </w:r>
    </w:p>
    <w:p w14:paraId="3D6C7FB1" w14:textId="77777777" w:rsidR="00575418" w:rsidRPr="00575418" w:rsidRDefault="00575418" w:rsidP="00575418">
      <w:pPr>
        <w:spacing w:after="0"/>
        <w:ind w:right="1701"/>
        <w:jc w:val="both"/>
        <w:rPr>
          <w:rFonts w:ascii="Arial" w:hAnsi="Arial" w:cs="Arial"/>
          <w:sz w:val="21"/>
          <w:szCs w:val="21"/>
        </w:rPr>
      </w:pPr>
    </w:p>
    <w:p w14:paraId="64C3D70F" w14:textId="481D8F10" w:rsidR="00575418" w:rsidRDefault="00575418" w:rsidP="00575418">
      <w:pPr>
        <w:pStyle w:val="Listenabsatz"/>
        <w:numPr>
          <w:ilvl w:val="0"/>
          <w:numId w:val="7"/>
        </w:numPr>
        <w:spacing w:after="0"/>
        <w:ind w:right="1701"/>
        <w:jc w:val="both"/>
        <w:rPr>
          <w:rFonts w:ascii="Arial" w:hAnsi="Arial" w:cs="Arial"/>
          <w:sz w:val="21"/>
          <w:szCs w:val="21"/>
        </w:rPr>
      </w:pPr>
      <w:r w:rsidRPr="00575418">
        <w:rPr>
          <w:rFonts w:ascii="Arial" w:hAnsi="Arial" w:cs="Arial"/>
          <w:sz w:val="21"/>
          <w:szCs w:val="21"/>
        </w:rPr>
        <w:t>Daher sagt das AG Stade: Dass sich aus der Verurteilung zur Zahlung gegenüber einer Freistellung eine nicht tragbare Schlechterstellung des Versicherers ergebe, sei nicht ersichtlich. Es entspreche der Sinnhaftigkeit des Werkstattrisikos, dass der Versicherer Zahlung an die Werkstatt zu leisten habe, wenn ihr Zug-um-Zug Ansprüche des Geschädigten gegen diese Werkstatt abgetreten werden. Das Risiko der Auseinandersetzung mit der Werkstatt trage doch gerade nach diesen Grundsätzen der Versicherer und nicht der Geschädigte. Wegen dieser vom BGH gewollten Risikoverteilung sei die Pflicht zur Zahlung statt nur zur Freistellung eben nicht mit untragbaren Belastungen verbunden (AG Stade, Urteil vom 16.07.2025, Az. 61 C 192/25).</w:t>
      </w:r>
    </w:p>
    <w:p w14:paraId="567D188E" w14:textId="77777777" w:rsidR="00B81531" w:rsidRDefault="00B81531" w:rsidP="00B81531">
      <w:pPr>
        <w:pStyle w:val="Listenabsatz"/>
        <w:spacing w:after="0"/>
        <w:ind w:left="360" w:right="1701"/>
        <w:jc w:val="both"/>
        <w:rPr>
          <w:rFonts w:ascii="Arial" w:hAnsi="Arial" w:cs="Arial"/>
          <w:sz w:val="21"/>
          <w:szCs w:val="21"/>
        </w:rPr>
      </w:pPr>
    </w:p>
    <w:p w14:paraId="0B03E2DB" w14:textId="77777777" w:rsidR="00B81531" w:rsidRPr="00B81531" w:rsidRDefault="00B81531" w:rsidP="00B81531">
      <w:pPr>
        <w:pStyle w:val="Listenabsatz"/>
        <w:ind w:left="360"/>
        <w:rPr>
          <w:rFonts w:ascii="Arial" w:hAnsi="Arial" w:cs="Arial"/>
          <w:sz w:val="21"/>
          <w:szCs w:val="21"/>
        </w:rPr>
      </w:pPr>
      <w:r w:rsidRPr="00B81531">
        <w:rPr>
          <w:rFonts w:ascii="Arial" w:hAnsi="Arial" w:cs="Arial"/>
          <w:sz w:val="21"/>
          <w:szCs w:val="21"/>
        </w:rPr>
        <w:t xml:space="preserve">Auch das AG Uelzen hat entschieden, dass eine Freistellung nicht genügt (AG Uelzen, Urteil nebst Terminprotokoll vom 19.08.2025, Az. 17 C 8044/25). </w:t>
      </w:r>
    </w:p>
    <w:p w14:paraId="69CCECB5" w14:textId="77777777" w:rsidR="002C3CB4" w:rsidRPr="002C3CB4" w:rsidRDefault="002C3CB4" w:rsidP="002C3CB4">
      <w:pPr>
        <w:spacing w:after="0"/>
        <w:ind w:left="360" w:right="1701"/>
        <w:jc w:val="both"/>
        <w:rPr>
          <w:rFonts w:ascii="Arial" w:hAnsi="Arial" w:cs="Arial"/>
          <w:sz w:val="21"/>
          <w:szCs w:val="21"/>
        </w:rPr>
      </w:pPr>
      <w:r w:rsidRPr="002C3CB4">
        <w:rPr>
          <w:rFonts w:ascii="Arial" w:hAnsi="Arial" w:cs="Arial"/>
          <w:sz w:val="21"/>
          <w:szCs w:val="21"/>
        </w:rPr>
        <w:t>Das AG Lüneburg sieht es genauso (AG Lüneburg mit Urteil vom 16.09.2025, Az. 42 C 98/25).</w:t>
      </w:r>
    </w:p>
    <w:p w14:paraId="19214886" w14:textId="77777777" w:rsidR="00575418" w:rsidRPr="00575418" w:rsidRDefault="00575418" w:rsidP="00575418">
      <w:pPr>
        <w:spacing w:after="0"/>
        <w:ind w:left="708" w:right="1701"/>
        <w:jc w:val="both"/>
        <w:rPr>
          <w:rFonts w:ascii="Arial" w:hAnsi="Arial" w:cs="Arial"/>
          <w:sz w:val="21"/>
          <w:szCs w:val="21"/>
        </w:rPr>
      </w:pPr>
    </w:p>
    <w:p w14:paraId="2CE7FC12" w14:textId="77777777" w:rsidR="00575418" w:rsidRPr="00575418" w:rsidRDefault="00575418" w:rsidP="00575418">
      <w:pPr>
        <w:spacing w:after="0"/>
        <w:ind w:left="348" w:right="1701"/>
        <w:jc w:val="both"/>
        <w:rPr>
          <w:rFonts w:ascii="Arial" w:hAnsi="Arial" w:cs="Arial"/>
          <w:sz w:val="21"/>
          <w:szCs w:val="21"/>
        </w:rPr>
      </w:pPr>
      <w:r w:rsidRPr="00575418">
        <w:rPr>
          <w:rFonts w:ascii="Arial" w:hAnsi="Arial" w:cs="Arial"/>
          <w:sz w:val="21"/>
          <w:szCs w:val="21"/>
        </w:rPr>
        <w:lastRenderedPageBreak/>
        <w:t>So ist es richtig.</w:t>
      </w:r>
    </w:p>
    <w:p w14:paraId="5ABE0BA4" w14:textId="77777777" w:rsidR="00575418" w:rsidRPr="00575418" w:rsidRDefault="00575418" w:rsidP="00575418">
      <w:pPr>
        <w:spacing w:after="0"/>
        <w:ind w:right="1701"/>
        <w:jc w:val="both"/>
        <w:rPr>
          <w:rFonts w:ascii="Arial" w:hAnsi="Arial" w:cs="Arial"/>
          <w:sz w:val="21"/>
          <w:szCs w:val="21"/>
        </w:rPr>
      </w:pPr>
    </w:p>
    <w:p w14:paraId="5B25E162" w14:textId="77777777" w:rsidR="00575418" w:rsidRDefault="00575418" w:rsidP="00575418">
      <w:pPr>
        <w:spacing w:after="0"/>
        <w:ind w:right="1701"/>
        <w:jc w:val="both"/>
        <w:rPr>
          <w:rFonts w:ascii="Arial" w:hAnsi="Arial" w:cs="Arial"/>
          <w:sz w:val="21"/>
          <w:szCs w:val="21"/>
        </w:rPr>
      </w:pPr>
    </w:p>
    <w:p w14:paraId="47B1FC9F" w14:textId="3E3E5EA0" w:rsidR="00575418" w:rsidRPr="00575418" w:rsidRDefault="00575418" w:rsidP="00575418">
      <w:pPr>
        <w:pStyle w:val="Listenabsatz"/>
        <w:numPr>
          <w:ilvl w:val="0"/>
          <w:numId w:val="7"/>
        </w:numPr>
        <w:spacing w:after="0"/>
        <w:ind w:right="1701"/>
        <w:jc w:val="both"/>
        <w:rPr>
          <w:rFonts w:ascii="Arial" w:hAnsi="Arial" w:cs="Arial"/>
          <w:sz w:val="21"/>
          <w:szCs w:val="21"/>
        </w:rPr>
      </w:pPr>
      <w:r w:rsidRPr="00575418">
        <w:rPr>
          <w:rFonts w:ascii="Arial" w:hAnsi="Arial" w:cs="Arial"/>
          <w:sz w:val="21"/>
          <w:szCs w:val="21"/>
        </w:rPr>
        <w:t>Hinzu kommt: Ein Freistellungsurteil zu vollstrecken (die Zahlungsunwilligkeit der Beklagten ist ja offensichtlich, denn sonst würde sie sich nicht gegen den Zahlungsantrag wehren), ist ein hochkompliziertes Unterfangen.</w:t>
      </w:r>
    </w:p>
    <w:p w14:paraId="12353B07" w14:textId="77777777" w:rsidR="00575418" w:rsidRPr="00575418" w:rsidRDefault="00575418" w:rsidP="00575418">
      <w:pPr>
        <w:spacing w:after="0"/>
        <w:ind w:right="1701"/>
        <w:jc w:val="both"/>
        <w:rPr>
          <w:rFonts w:ascii="Arial" w:hAnsi="Arial" w:cs="Arial"/>
          <w:sz w:val="21"/>
          <w:szCs w:val="21"/>
        </w:rPr>
      </w:pPr>
    </w:p>
    <w:p w14:paraId="1F26382A" w14:textId="77777777" w:rsidR="00575418" w:rsidRPr="00575418" w:rsidRDefault="00575418" w:rsidP="00575418">
      <w:pPr>
        <w:spacing w:after="0"/>
        <w:ind w:left="360" w:right="1701"/>
        <w:jc w:val="both"/>
        <w:rPr>
          <w:rFonts w:ascii="Arial" w:hAnsi="Arial" w:cs="Arial"/>
          <w:sz w:val="21"/>
          <w:szCs w:val="21"/>
        </w:rPr>
      </w:pPr>
      <w:r w:rsidRPr="00575418">
        <w:rPr>
          <w:rFonts w:ascii="Arial" w:hAnsi="Arial" w:cs="Arial"/>
          <w:sz w:val="21"/>
          <w:szCs w:val="21"/>
        </w:rPr>
        <w:t>Der erste Gedanke „Zwangsgeld“ zieht nicht, denn die Freistellung ist eine vertretbare Handlung.</w:t>
      </w:r>
    </w:p>
    <w:p w14:paraId="184554B7" w14:textId="77777777" w:rsidR="00575418" w:rsidRPr="00575418" w:rsidRDefault="00575418" w:rsidP="00575418">
      <w:pPr>
        <w:spacing w:after="0"/>
        <w:ind w:left="360" w:right="1701"/>
        <w:jc w:val="both"/>
        <w:rPr>
          <w:rFonts w:ascii="Arial" w:hAnsi="Arial" w:cs="Arial"/>
          <w:sz w:val="21"/>
          <w:szCs w:val="21"/>
        </w:rPr>
      </w:pPr>
    </w:p>
    <w:p w14:paraId="36CF9F76" w14:textId="77777777" w:rsidR="00575418" w:rsidRPr="00575418" w:rsidRDefault="00575418" w:rsidP="00575418">
      <w:pPr>
        <w:spacing w:after="0"/>
        <w:ind w:left="360" w:right="1701"/>
        <w:jc w:val="both"/>
        <w:rPr>
          <w:rFonts w:ascii="Arial" w:hAnsi="Arial" w:cs="Arial"/>
          <w:sz w:val="21"/>
          <w:szCs w:val="21"/>
        </w:rPr>
      </w:pPr>
      <w:r w:rsidRPr="00575418">
        <w:rPr>
          <w:rFonts w:ascii="Arial" w:hAnsi="Arial" w:cs="Arial"/>
          <w:sz w:val="21"/>
          <w:szCs w:val="21"/>
        </w:rPr>
        <w:t xml:space="preserve">Den Gläubiger von einer Forderung „freizustellen“, bedeutet, dass der Schuldner nicht an den Gläubiger zahlen muss, sondern an den Dritten, der das Geld vom Gläubiger verlangen kann. Daher ist die Freistellung kein Zahlungsanspruch des Gläubigers gegenüber dem Schuldner, sondern eine sog. vertretbare Handlung nach § 887 ZPO. Vertretbar ist sie, weil ein Dritter (also auch der Gläubiger) anstelle des Schuldners diese Handlung erfüllen kann.  </w:t>
      </w:r>
    </w:p>
    <w:p w14:paraId="5625476F" w14:textId="77777777" w:rsidR="00575418" w:rsidRPr="00575418" w:rsidRDefault="00575418" w:rsidP="00575418">
      <w:pPr>
        <w:spacing w:after="0"/>
        <w:ind w:left="360" w:right="1701"/>
        <w:jc w:val="both"/>
        <w:rPr>
          <w:rFonts w:ascii="Arial" w:hAnsi="Arial" w:cs="Arial"/>
          <w:sz w:val="21"/>
          <w:szCs w:val="21"/>
        </w:rPr>
      </w:pPr>
    </w:p>
    <w:p w14:paraId="6F3257CB" w14:textId="77777777" w:rsidR="00575418" w:rsidRPr="00575418" w:rsidRDefault="00575418" w:rsidP="00575418">
      <w:pPr>
        <w:spacing w:after="0"/>
        <w:ind w:left="360" w:right="1701"/>
        <w:jc w:val="both"/>
        <w:rPr>
          <w:rFonts w:ascii="Arial" w:hAnsi="Arial" w:cs="Arial"/>
          <w:sz w:val="21"/>
          <w:szCs w:val="21"/>
        </w:rPr>
      </w:pPr>
      <w:r w:rsidRPr="00575418">
        <w:rPr>
          <w:rFonts w:ascii="Arial" w:hAnsi="Arial" w:cs="Arial"/>
          <w:sz w:val="21"/>
          <w:szCs w:val="21"/>
        </w:rPr>
        <w:t>Damit der Gläubiger den Schaden, den er durch die Selbst-Freistellung erleidet, vom Schuldner wieder ersetzt verlangen kann, muss er sich vom Prozessgericht des ersten Rechtszugs (Richter) ermächtigen lassen, die Freistellungshandlung anstelle des Schuldners vornehmen zu dürfen. Dafür muss er einen Antrag nach § 887 Abs. 1 ZPO stellen. Wenn der Gläubiger im Zusammenhang mit der Handlung Kosten aufwenden muss, kann er nach § 887 Abs. 2 ZPO gleichzeitig mit dem Antrag zur Ermächtigung der Handlung auch einen Vorschussantrag stellen. Das Gericht erlässt dann einen Beschluss, wonach der Gläubiger zur Handlung ermächtigt wird und der Schuldner ihm dafür einen Vorschuss zahlen muss. Dieser Beschluss bildet einen Vollstreckungstitel nach § 794 Abs. 1 Nr. 3 ZPO, womit der Gläubiger den Betrag als Zahlungsanspruch vollstrecken kann.</w:t>
      </w:r>
    </w:p>
    <w:p w14:paraId="795F0B37" w14:textId="77777777" w:rsidR="00575418" w:rsidRPr="00575418" w:rsidRDefault="00575418" w:rsidP="00575418">
      <w:pPr>
        <w:spacing w:after="0"/>
        <w:ind w:left="360" w:right="1701"/>
        <w:jc w:val="both"/>
        <w:rPr>
          <w:rFonts w:ascii="Arial" w:hAnsi="Arial" w:cs="Arial"/>
          <w:sz w:val="21"/>
          <w:szCs w:val="21"/>
        </w:rPr>
      </w:pPr>
    </w:p>
    <w:p w14:paraId="4E3E4294" w14:textId="77777777" w:rsidR="00575418" w:rsidRPr="00575418" w:rsidRDefault="00575418" w:rsidP="00575418">
      <w:pPr>
        <w:spacing w:after="0"/>
        <w:ind w:left="360" w:right="1701"/>
        <w:jc w:val="both"/>
        <w:rPr>
          <w:rFonts w:ascii="Arial" w:hAnsi="Arial" w:cs="Arial"/>
          <w:sz w:val="21"/>
          <w:szCs w:val="21"/>
        </w:rPr>
      </w:pPr>
      <w:r w:rsidRPr="00575418">
        <w:rPr>
          <w:rFonts w:ascii="Arial" w:hAnsi="Arial" w:cs="Arial"/>
          <w:sz w:val="21"/>
          <w:szCs w:val="21"/>
        </w:rPr>
        <w:t>Allein das ist für den Geschädigte und hier den Kläger unzumutbar.</w:t>
      </w:r>
    </w:p>
    <w:p w14:paraId="458CFC82" w14:textId="77777777" w:rsidR="00575418" w:rsidRPr="00575418" w:rsidRDefault="00575418" w:rsidP="00575418">
      <w:pPr>
        <w:spacing w:after="0"/>
        <w:ind w:right="1701"/>
        <w:jc w:val="both"/>
        <w:rPr>
          <w:rFonts w:ascii="Arial" w:hAnsi="Arial" w:cs="Arial"/>
          <w:sz w:val="21"/>
          <w:szCs w:val="21"/>
        </w:rPr>
      </w:pPr>
    </w:p>
    <w:p w14:paraId="7AAB1E01" w14:textId="0056AE0C" w:rsidR="00575418" w:rsidRPr="00575418" w:rsidRDefault="00575418" w:rsidP="00575418">
      <w:pPr>
        <w:pStyle w:val="Listenabsatz"/>
        <w:numPr>
          <w:ilvl w:val="0"/>
          <w:numId w:val="7"/>
        </w:numPr>
        <w:spacing w:after="0"/>
        <w:ind w:right="1701"/>
        <w:jc w:val="both"/>
        <w:rPr>
          <w:rFonts w:ascii="Arial" w:hAnsi="Arial" w:cs="Arial"/>
          <w:sz w:val="21"/>
          <w:szCs w:val="21"/>
        </w:rPr>
      </w:pPr>
      <w:r w:rsidRPr="00575418">
        <w:rPr>
          <w:rFonts w:ascii="Arial" w:hAnsi="Arial" w:cs="Arial"/>
          <w:sz w:val="21"/>
          <w:szCs w:val="21"/>
        </w:rPr>
        <w:t>Wie die Beklagte bei alledem darauf kommt, dass sie ein Wahlrecht habe, ob sie zahle oder freistelle, ist nur schwer nachzuvollziehen.</w:t>
      </w:r>
    </w:p>
    <w:p w14:paraId="11AB0DD8" w14:textId="77777777" w:rsidR="00575418" w:rsidRPr="00575418" w:rsidRDefault="00575418" w:rsidP="00575418">
      <w:pPr>
        <w:spacing w:after="0"/>
        <w:ind w:right="1701"/>
        <w:jc w:val="both"/>
        <w:rPr>
          <w:rFonts w:ascii="Arial" w:hAnsi="Arial" w:cs="Arial"/>
          <w:sz w:val="21"/>
          <w:szCs w:val="21"/>
        </w:rPr>
      </w:pPr>
    </w:p>
    <w:p w14:paraId="6A3EC626" w14:textId="77777777" w:rsidR="00575418" w:rsidRPr="00575418" w:rsidRDefault="00575418" w:rsidP="00575418">
      <w:pPr>
        <w:spacing w:after="0"/>
        <w:ind w:left="360" w:right="1701"/>
        <w:jc w:val="both"/>
        <w:rPr>
          <w:rFonts w:ascii="Arial" w:hAnsi="Arial" w:cs="Arial"/>
          <w:sz w:val="21"/>
          <w:szCs w:val="21"/>
        </w:rPr>
      </w:pPr>
      <w:r w:rsidRPr="00575418">
        <w:rPr>
          <w:rFonts w:ascii="Arial" w:hAnsi="Arial" w:cs="Arial"/>
          <w:sz w:val="21"/>
          <w:szCs w:val="21"/>
        </w:rPr>
        <w:t>Der Kläger verlangt keinen Aufwendungsersatz, sondern Schadenersatz. Oben unter Ziffer 1 haben wir die BGH-Rechtsprechung zur Umwandlung des Freistellungsanspruchs in einen Zahlungsanspruch dargestellt.</w:t>
      </w:r>
    </w:p>
    <w:p w14:paraId="05447FDE" w14:textId="77777777" w:rsidR="00575418" w:rsidRPr="00575418" w:rsidRDefault="00575418" w:rsidP="00575418">
      <w:pPr>
        <w:spacing w:after="0"/>
        <w:ind w:left="360" w:right="1701"/>
        <w:jc w:val="both"/>
        <w:rPr>
          <w:rFonts w:ascii="Arial" w:hAnsi="Arial" w:cs="Arial"/>
          <w:sz w:val="21"/>
          <w:szCs w:val="21"/>
        </w:rPr>
      </w:pPr>
    </w:p>
    <w:p w14:paraId="2FEA15E1" w14:textId="77777777" w:rsidR="00575418" w:rsidRPr="00575418" w:rsidRDefault="00575418" w:rsidP="00575418">
      <w:pPr>
        <w:spacing w:after="0"/>
        <w:ind w:left="360" w:right="1701"/>
        <w:jc w:val="both"/>
        <w:rPr>
          <w:rFonts w:ascii="Arial" w:hAnsi="Arial" w:cs="Arial"/>
          <w:sz w:val="21"/>
          <w:szCs w:val="21"/>
        </w:rPr>
      </w:pPr>
      <w:r w:rsidRPr="00575418">
        <w:rPr>
          <w:rFonts w:ascii="Arial" w:hAnsi="Arial" w:cs="Arial"/>
          <w:sz w:val="21"/>
          <w:szCs w:val="21"/>
        </w:rPr>
        <w:t>Wenn die Beklagte vorträgt „Das Wahlrecht ergibt sich vorliegend aus § 257 Satz 1 BGB. Dieser ist als allgemeiner Rechtsgedanke auf sämtliche Freistellungsansprüche anwendbar.“, übersieht sie, dass es hier längst nicht mehr um einen Freistellungsanspruch geht. Der Freistellungsanspruch ist längst in einen Zahlungsanspruch umgewandelt.</w:t>
      </w:r>
    </w:p>
    <w:p w14:paraId="4256355A" w14:textId="77777777" w:rsidR="00575418" w:rsidRPr="00575418" w:rsidRDefault="00575418" w:rsidP="00575418">
      <w:pPr>
        <w:spacing w:after="0"/>
        <w:ind w:right="1701"/>
        <w:jc w:val="both"/>
        <w:rPr>
          <w:rFonts w:ascii="Arial" w:hAnsi="Arial" w:cs="Arial"/>
          <w:sz w:val="21"/>
          <w:szCs w:val="21"/>
        </w:rPr>
      </w:pPr>
    </w:p>
    <w:p w14:paraId="1F72D509" w14:textId="730A41F9" w:rsidR="00575418" w:rsidRPr="00575418" w:rsidRDefault="00575418" w:rsidP="00575418">
      <w:pPr>
        <w:pStyle w:val="Listenabsatz"/>
        <w:numPr>
          <w:ilvl w:val="0"/>
          <w:numId w:val="7"/>
        </w:numPr>
        <w:spacing w:after="0"/>
        <w:ind w:right="1701"/>
        <w:jc w:val="both"/>
        <w:rPr>
          <w:rFonts w:ascii="Arial" w:hAnsi="Arial" w:cs="Arial"/>
          <w:sz w:val="21"/>
          <w:szCs w:val="21"/>
        </w:rPr>
      </w:pPr>
      <w:r w:rsidRPr="00575418">
        <w:rPr>
          <w:rFonts w:ascii="Arial" w:hAnsi="Arial" w:cs="Arial"/>
          <w:sz w:val="21"/>
          <w:szCs w:val="21"/>
        </w:rPr>
        <w:t>Der BGH hat im Übrigen nichts übersehen, sondern sich mit den Freistellungsfragen auseinandergesetzt, und zwar im Urteil vom 16.01.2024, Az. VI ZR 266/22. Weil das Berufungsgericht (LG Stuttgart) den Kläger in den Freistellungsanspruch zwingen wollte, hat der BGH ab Rz. 22 gründlich damit aufgeräumt.</w:t>
      </w:r>
    </w:p>
    <w:p w14:paraId="13636FFF" w14:textId="77777777" w:rsidR="00575418" w:rsidRPr="00575418" w:rsidRDefault="00575418" w:rsidP="00575418">
      <w:pPr>
        <w:spacing w:after="0"/>
        <w:ind w:right="1701"/>
        <w:jc w:val="both"/>
        <w:rPr>
          <w:rFonts w:ascii="Arial" w:hAnsi="Arial" w:cs="Arial"/>
        </w:rPr>
      </w:pPr>
    </w:p>
    <w:p w14:paraId="3AD79E2D" w14:textId="77777777" w:rsidR="006C5A05" w:rsidRPr="00575418" w:rsidRDefault="006C5A05" w:rsidP="00A033C2">
      <w:pPr>
        <w:pStyle w:val="A-Grundtext"/>
      </w:pPr>
    </w:p>
    <w:p w14:paraId="26343950" w14:textId="77777777" w:rsidR="00AE07BD" w:rsidRPr="00575418" w:rsidRDefault="00AE07BD" w:rsidP="00A033C2">
      <w:pPr>
        <w:pStyle w:val="A-Grundtext"/>
      </w:pPr>
    </w:p>
    <w:p w14:paraId="36A7EDFE" w14:textId="77777777" w:rsidR="0065771A" w:rsidRPr="00575418" w:rsidRDefault="0065771A"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rsidRPr="00575418"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575418" w:rsidRDefault="00B1645A" w:rsidP="00DA1E2A">
            <w:pPr>
              <w:pStyle w:val="A-Grundtext"/>
              <w:shd w:val="clear" w:color="auto" w:fill="D9D9D9" w:themeFill="background1" w:themeFillShade="D9"/>
              <w:ind w:left="142" w:right="207"/>
            </w:pPr>
            <w:r w:rsidRPr="00575418">
              <w:rPr>
                <w:rStyle w:val="fett"/>
                <w:bCs/>
              </w:rPr>
              <w:t xml:space="preserve">Wichtiger Hinweis: </w:t>
            </w:r>
            <w:r w:rsidR="00195308" w:rsidRPr="00575418">
              <w:t>Der Inhalt ist nach bestem Wissen und Kenntnisstand erstellt worden. Die Redaktion prüft ihn regelmäßig und passt i</w:t>
            </w:r>
            <w:r w:rsidR="00E06B60" w:rsidRPr="00575418">
              <w:t>h</w:t>
            </w:r>
            <w:r w:rsidR="00195308" w:rsidRPr="00575418">
              <w:t>n gegebenenfalls an. Gleichwohl schließen wir Haftung und Gewähr aus, da die Materie komplex ist und sich ständig wandelt</w:t>
            </w:r>
            <w:r w:rsidRPr="00575418">
              <w:t xml:space="preserve">. </w:t>
            </w:r>
            <w:r w:rsidR="0087647C" w:rsidRPr="00575418">
              <w:t xml:space="preserve">Muster dienen als Vorlage und sind individuell </w:t>
            </w:r>
            <w:r w:rsidR="001B5725" w:rsidRPr="00575418">
              <w:t>anzupassen.</w:t>
            </w:r>
          </w:p>
          <w:p w14:paraId="393A9F75" w14:textId="77777777" w:rsidR="00B1645A" w:rsidRPr="00575418" w:rsidRDefault="00B1645A" w:rsidP="00DA1E2A">
            <w:pPr>
              <w:pStyle w:val="A-Grundtext"/>
              <w:shd w:val="clear" w:color="auto" w:fill="D9D9D9" w:themeFill="background1" w:themeFillShade="D9"/>
              <w:ind w:left="142" w:right="207"/>
            </w:pPr>
          </w:p>
          <w:p w14:paraId="19041E4D" w14:textId="77777777" w:rsidR="00B1645A" w:rsidRPr="00575418" w:rsidRDefault="00B1645A" w:rsidP="00DA1E2A">
            <w:pPr>
              <w:pStyle w:val="A-Grundtext"/>
              <w:shd w:val="clear" w:color="auto" w:fill="D9D9D9" w:themeFill="background1" w:themeFillShade="D9"/>
              <w:ind w:left="142" w:right="207"/>
            </w:pPr>
            <w:r w:rsidRPr="00575418">
              <w:rPr>
                <w:b/>
              </w:rPr>
              <w:t>Haben Sie noch Fragen?</w:t>
            </w:r>
            <w:r w:rsidRPr="00575418">
              <w:t xml:space="preserve"> Schreiben Sie uns: </w:t>
            </w:r>
            <w:hyperlink r:id="rId7" w:history="1">
              <w:r w:rsidRPr="00575418">
                <w:rPr>
                  <w:rStyle w:val="Hyperlink"/>
                  <w:rFonts w:cs="Arial"/>
                  <w:color w:val="auto"/>
                </w:rPr>
                <w:t>kontakt@iww.de</w:t>
              </w:r>
            </w:hyperlink>
          </w:p>
        </w:tc>
      </w:tr>
    </w:tbl>
    <w:p w14:paraId="41F14342" w14:textId="77777777" w:rsidR="00901837" w:rsidRPr="00575418" w:rsidRDefault="00901837" w:rsidP="006C5A05">
      <w:pPr>
        <w:pStyle w:val="A-Grundtext"/>
      </w:pPr>
    </w:p>
    <w:sectPr w:rsidR="00901837" w:rsidRPr="00575418"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8B6D2" w14:textId="77777777" w:rsidR="00A266AC" w:rsidRDefault="00A266AC" w:rsidP="00B2150E">
      <w:pPr>
        <w:spacing w:after="0" w:line="240" w:lineRule="auto"/>
      </w:pPr>
      <w:r>
        <w:separator/>
      </w:r>
    </w:p>
  </w:endnote>
  <w:endnote w:type="continuationSeparator" w:id="0">
    <w:p w14:paraId="1ADCB5E1" w14:textId="77777777" w:rsidR="00A266AC" w:rsidRDefault="00A266AC"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IN Offc Pro">
    <w:altName w:val="Calibri"/>
    <w:panose1 w:val="020B0504020101020102"/>
    <w:charset w:val="00"/>
    <w:family w:val="swiss"/>
    <w:pitch w:val="variable"/>
    <w:sig w:usb0="A00002BF" w:usb1="4000207B" w:usb2="00000008"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altName w:val="Calibri"/>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77777777"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11E94" w14:textId="77777777" w:rsidR="00A266AC" w:rsidRDefault="00A266AC" w:rsidP="00B2150E">
      <w:pPr>
        <w:spacing w:after="0" w:line="240" w:lineRule="auto"/>
      </w:pPr>
      <w:r>
        <w:separator/>
      </w:r>
    </w:p>
  </w:footnote>
  <w:footnote w:type="continuationSeparator" w:id="0">
    <w:p w14:paraId="5D22A57F" w14:textId="77777777" w:rsidR="00A266AC" w:rsidRDefault="00A266AC"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C5544"/>
    <w:multiLevelType w:val="hybridMultilevel"/>
    <w:tmpl w:val="D660BD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53277D0"/>
    <w:multiLevelType w:val="hybridMultilevel"/>
    <w:tmpl w:val="53A42D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C4B56F1"/>
    <w:multiLevelType w:val="hybridMultilevel"/>
    <w:tmpl w:val="774ADD60"/>
    <w:lvl w:ilvl="0" w:tplc="9C26FFA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75FB76F0"/>
    <w:multiLevelType w:val="hybridMultilevel"/>
    <w:tmpl w:val="ECFC29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2"/>
  </w:num>
  <w:num w:numId="2" w16cid:durableId="1384675516">
    <w:abstractNumId w:val="6"/>
  </w:num>
  <w:num w:numId="3" w16cid:durableId="100881069">
    <w:abstractNumId w:val="5"/>
  </w:num>
  <w:num w:numId="4" w16cid:durableId="1541553773">
    <w:abstractNumId w:val="0"/>
  </w:num>
  <w:num w:numId="5" w16cid:durableId="1599605257">
    <w:abstractNumId w:val="1"/>
  </w:num>
  <w:num w:numId="6" w16cid:durableId="236745805">
    <w:abstractNumId w:val="4"/>
  </w:num>
  <w:num w:numId="7" w16cid:durableId="229266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31BD8"/>
    <w:rsid w:val="001476BF"/>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C3CB4"/>
    <w:rsid w:val="002D4A97"/>
    <w:rsid w:val="00316204"/>
    <w:rsid w:val="00320EA2"/>
    <w:rsid w:val="00360B71"/>
    <w:rsid w:val="003843C6"/>
    <w:rsid w:val="003B0C0E"/>
    <w:rsid w:val="004033C6"/>
    <w:rsid w:val="0045307A"/>
    <w:rsid w:val="00453096"/>
    <w:rsid w:val="004C5C22"/>
    <w:rsid w:val="004D2AB7"/>
    <w:rsid w:val="004F4EA0"/>
    <w:rsid w:val="00544206"/>
    <w:rsid w:val="005753C2"/>
    <w:rsid w:val="00575418"/>
    <w:rsid w:val="00593354"/>
    <w:rsid w:val="005B24EC"/>
    <w:rsid w:val="005C53E8"/>
    <w:rsid w:val="00610AFA"/>
    <w:rsid w:val="0065771A"/>
    <w:rsid w:val="00682B08"/>
    <w:rsid w:val="006A385A"/>
    <w:rsid w:val="006B0D4D"/>
    <w:rsid w:val="006C5A05"/>
    <w:rsid w:val="006F7D28"/>
    <w:rsid w:val="00736EA3"/>
    <w:rsid w:val="007631D5"/>
    <w:rsid w:val="007712EC"/>
    <w:rsid w:val="007C37A6"/>
    <w:rsid w:val="00844B9B"/>
    <w:rsid w:val="008453E4"/>
    <w:rsid w:val="00865455"/>
    <w:rsid w:val="0087647C"/>
    <w:rsid w:val="0087688F"/>
    <w:rsid w:val="008957F2"/>
    <w:rsid w:val="008B5EEA"/>
    <w:rsid w:val="008B69CB"/>
    <w:rsid w:val="008C5382"/>
    <w:rsid w:val="008C7F29"/>
    <w:rsid w:val="00901837"/>
    <w:rsid w:val="00916CF4"/>
    <w:rsid w:val="00923F71"/>
    <w:rsid w:val="00950B9C"/>
    <w:rsid w:val="009923B9"/>
    <w:rsid w:val="00997F46"/>
    <w:rsid w:val="009A6C9A"/>
    <w:rsid w:val="009B5A39"/>
    <w:rsid w:val="009F01A8"/>
    <w:rsid w:val="009F4FFC"/>
    <w:rsid w:val="00A00DF1"/>
    <w:rsid w:val="00A033C2"/>
    <w:rsid w:val="00A266AC"/>
    <w:rsid w:val="00AC24B7"/>
    <w:rsid w:val="00AD68A2"/>
    <w:rsid w:val="00AE07BD"/>
    <w:rsid w:val="00AF49EB"/>
    <w:rsid w:val="00B06839"/>
    <w:rsid w:val="00B1645A"/>
    <w:rsid w:val="00B2150E"/>
    <w:rsid w:val="00B431FD"/>
    <w:rsid w:val="00B55676"/>
    <w:rsid w:val="00B81531"/>
    <w:rsid w:val="00B9664D"/>
    <w:rsid w:val="00BC1A18"/>
    <w:rsid w:val="00BC206D"/>
    <w:rsid w:val="00C16EC9"/>
    <w:rsid w:val="00CE18AF"/>
    <w:rsid w:val="00CF57DB"/>
    <w:rsid w:val="00D136CE"/>
    <w:rsid w:val="00D45578"/>
    <w:rsid w:val="00D6407F"/>
    <w:rsid w:val="00D64F2A"/>
    <w:rsid w:val="00D945D3"/>
    <w:rsid w:val="00DA1E2A"/>
    <w:rsid w:val="00DC3DB4"/>
    <w:rsid w:val="00DC6EAC"/>
    <w:rsid w:val="00E06B60"/>
    <w:rsid w:val="00E102A2"/>
    <w:rsid w:val="00E33B46"/>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75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 w:id="669337725">
      <w:bodyDiv w:val="1"/>
      <w:marLeft w:val="0"/>
      <w:marRight w:val="0"/>
      <w:marTop w:val="0"/>
      <w:marBottom w:val="0"/>
      <w:divBdr>
        <w:top w:val="none" w:sz="0" w:space="0" w:color="auto"/>
        <w:left w:val="none" w:sz="0" w:space="0" w:color="auto"/>
        <w:bottom w:val="none" w:sz="0" w:space="0" w:color="auto"/>
        <w:right w:val="none" w:sz="0" w:space="0" w:color="auto"/>
      </w:divBdr>
    </w:div>
    <w:div w:id="935947186">
      <w:bodyDiv w:val="1"/>
      <w:marLeft w:val="0"/>
      <w:marRight w:val="0"/>
      <w:marTop w:val="0"/>
      <w:marBottom w:val="0"/>
      <w:divBdr>
        <w:top w:val="none" w:sz="0" w:space="0" w:color="auto"/>
        <w:left w:val="none" w:sz="0" w:space="0" w:color="auto"/>
        <w:bottom w:val="none" w:sz="0" w:space="0" w:color="auto"/>
        <w:right w:val="none" w:sz="0" w:space="0" w:color="auto"/>
      </w:divBdr>
    </w:div>
    <w:div w:id="1078865144">
      <w:bodyDiv w:val="1"/>
      <w:marLeft w:val="0"/>
      <w:marRight w:val="0"/>
      <w:marTop w:val="0"/>
      <w:marBottom w:val="0"/>
      <w:divBdr>
        <w:top w:val="none" w:sz="0" w:space="0" w:color="auto"/>
        <w:left w:val="none" w:sz="0" w:space="0" w:color="auto"/>
        <w:bottom w:val="none" w:sz="0" w:space="0" w:color="auto"/>
        <w:right w:val="none" w:sz="0" w:space="0" w:color="auto"/>
      </w:divBdr>
    </w:div>
    <w:div w:id="1108817360">
      <w:bodyDiv w:val="1"/>
      <w:marLeft w:val="0"/>
      <w:marRight w:val="0"/>
      <w:marTop w:val="0"/>
      <w:marBottom w:val="0"/>
      <w:divBdr>
        <w:top w:val="none" w:sz="0" w:space="0" w:color="auto"/>
        <w:left w:val="none" w:sz="0" w:space="0" w:color="auto"/>
        <w:bottom w:val="none" w:sz="0" w:space="0" w:color="auto"/>
        <w:right w:val="none" w:sz="0" w:space="0" w:color="auto"/>
      </w:divBdr>
    </w:div>
    <w:div w:id="1889608534">
      <w:bodyDiv w:val="1"/>
      <w:marLeft w:val="0"/>
      <w:marRight w:val="0"/>
      <w:marTop w:val="0"/>
      <w:marBottom w:val="0"/>
      <w:divBdr>
        <w:top w:val="none" w:sz="0" w:space="0" w:color="auto"/>
        <w:left w:val="none" w:sz="0" w:space="0" w:color="auto"/>
        <w:bottom w:val="none" w:sz="0" w:space="0" w:color="auto"/>
        <w:right w:val="none" w:sz="0" w:space="0" w:color="auto"/>
      </w:divBdr>
    </w:div>
    <w:div w:id="19633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1152</Words>
  <Characters>7260</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Eva Köstler</cp:lastModifiedBy>
  <cp:revision>15</cp:revision>
  <cp:lastPrinted>2023-12-04T11:30:00Z</cp:lastPrinted>
  <dcterms:created xsi:type="dcterms:W3CDTF">2022-08-04T11:26:00Z</dcterms:created>
  <dcterms:modified xsi:type="dcterms:W3CDTF">2025-09-19T13:21:00Z</dcterms:modified>
</cp:coreProperties>
</file>