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5C05F104"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657086">
        <w:rPr>
          <w:rFonts w:cs="Arial"/>
        </w:rPr>
        <w:t xml:space="preserve">UE </w:t>
      </w:r>
      <w:r w:rsidR="00887013">
        <w:rPr>
          <w:rFonts w:cs="Arial"/>
        </w:rPr>
        <w:t>9</w:t>
      </w:r>
      <w:r w:rsidR="00657086">
        <w:rPr>
          <w:rFonts w:cs="Arial"/>
        </w:rPr>
        <w:t>/2025</w:t>
      </w:r>
    </w:p>
    <w:p w14:paraId="4094C641" w14:textId="58EE2C47" w:rsidR="00087A47" w:rsidRPr="00242616" w:rsidRDefault="00242616" w:rsidP="00242616">
      <w:pPr>
        <w:spacing w:after="0"/>
        <w:ind w:right="1701"/>
        <w:rPr>
          <w:rFonts w:ascii="Arial" w:hAnsi="Arial" w:cs="Arial"/>
          <w:b/>
          <w:bCs/>
          <w:sz w:val="36"/>
          <w:szCs w:val="36"/>
        </w:rPr>
      </w:pPr>
      <w:r w:rsidRPr="00242616">
        <w:rPr>
          <w:rFonts w:ascii="Arial" w:hAnsi="Arial" w:cs="Arial"/>
          <w:b/>
          <w:bCs/>
          <w:sz w:val="36"/>
          <w:szCs w:val="36"/>
        </w:rPr>
        <w:t>Dass das Schadengutachten zum Zeitpunkt des Reparaturumfangs noch nicht fertig war, schadet nicht“ (H)</w:t>
      </w:r>
      <w:r w:rsidR="00087A47" w:rsidRPr="00242616">
        <w:rPr>
          <w:rFonts w:ascii="Arial" w:hAnsi="Arial" w:cs="Arial"/>
          <w:b/>
          <w:bCs/>
          <w:sz w:val="36"/>
          <w:szCs w:val="36"/>
        </w:rPr>
        <w:t xml:space="preserve"> </w:t>
      </w: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087A47" w:rsidRDefault="00901837" w:rsidP="00A033C2">
      <w:pPr>
        <w:pStyle w:val="A-Grundtext"/>
        <w:rPr>
          <w:szCs w:val="21"/>
        </w:rPr>
      </w:pPr>
    </w:p>
    <w:p w14:paraId="46BC76F0" w14:textId="63DC2F43" w:rsidR="008A6982" w:rsidRDefault="008A6982" w:rsidP="008A6982">
      <w:pPr>
        <w:spacing w:after="0"/>
        <w:ind w:right="1701"/>
        <w:jc w:val="both"/>
        <w:rPr>
          <w:rFonts w:ascii="Arial" w:hAnsi="Arial" w:cs="Arial"/>
        </w:rPr>
      </w:pPr>
      <w:r>
        <w:rPr>
          <w:rFonts w:ascii="Arial" w:hAnsi="Arial" w:cs="Arial"/>
        </w:rPr>
        <w:t>Richtig ist: D</w:t>
      </w:r>
      <w:r w:rsidRPr="00DC6267">
        <w:rPr>
          <w:rFonts w:ascii="Arial" w:hAnsi="Arial" w:cs="Arial"/>
        </w:rPr>
        <w:t>ie Daten auf Auftrag und Gutachten</w:t>
      </w:r>
      <w:r>
        <w:rPr>
          <w:rFonts w:ascii="Arial" w:hAnsi="Arial" w:cs="Arial"/>
        </w:rPr>
        <w:t xml:space="preserve"> zeigen</w:t>
      </w:r>
      <w:r w:rsidRPr="00DC6267">
        <w:rPr>
          <w:rFonts w:ascii="Arial" w:hAnsi="Arial" w:cs="Arial"/>
        </w:rPr>
        <w:t xml:space="preserve">, dass das Gutachten zum Zeitpunkt des Reparaturauftrages noch nicht fertig war. </w:t>
      </w:r>
      <w:r>
        <w:rPr>
          <w:rFonts w:ascii="Arial" w:hAnsi="Arial" w:cs="Arial"/>
        </w:rPr>
        <w:t xml:space="preserve">Die Auffassung des Klägers, </w:t>
      </w:r>
      <w:r w:rsidR="00EE20F8">
        <w:rPr>
          <w:rFonts w:ascii="Arial" w:hAnsi="Arial" w:cs="Arial"/>
        </w:rPr>
        <w:t>dass</w:t>
      </w:r>
      <w:r>
        <w:rPr>
          <w:rFonts w:ascii="Arial" w:hAnsi="Arial" w:cs="Arial"/>
        </w:rPr>
        <w:t xml:space="preserve"> das Gutachten deshalb nicht die Grundlage des Reparaturauftrags sein könne, liegt aber neben der Sache.</w:t>
      </w:r>
    </w:p>
    <w:p w14:paraId="472BBDA3" w14:textId="77777777" w:rsidR="008A6982" w:rsidRPr="00DC6267" w:rsidRDefault="008A6982" w:rsidP="008A6982">
      <w:pPr>
        <w:spacing w:after="0"/>
        <w:ind w:right="1701"/>
        <w:jc w:val="both"/>
        <w:rPr>
          <w:rFonts w:ascii="Arial" w:hAnsi="Arial" w:cs="Arial"/>
        </w:rPr>
      </w:pPr>
      <w:r w:rsidRPr="00DC6267">
        <w:rPr>
          <w:rFonts w:ascii="Arial" w:hAnsi="Arial" w:cs="Arial"/>
        </w:rPr>
        <w:t xml:space="preserve"> </w:t>
      </w:r>
    </w:p>
    <w:p w14:paraId="7416F7FE" w14:textId="77777777" w:rsidR="008A6982" w:rsidRPr="00DC6267" w:rsidRDefault="008A6982" w:rsidP="008A6982">
      <w:pPr>
        <w:spacing w:after="0"/>
        <w:ind w:right="1701"/>
        <w:jc w:val="both"/>
        <w:rPr>
          <w:rFonts w:ascii="Arial" w:hAnsi="Arial" w:cs="Arial"/>
        </w:rPr>
      </w:pPr>
      <w:r w:rsidRPr="00DC6267">
        <w:rPr>
          <w:rFonts w:ascii="Arial" w:hAnsi="Arial" w:cs="Arial"/>
        </w:rPr>
        <w:t xml:space="preserve">Ein Geschädigter als technischer Laie ist nämlich nicht im Stande, ein Schadengutachten auf seine Richtigkeit in den Details zu prüfen. Von ihm zu verlangen, etwas zuvor anzuschauen, wo er in den Details ohnehin nichts sieht, wäre pure </w:t>
      </w:r>
      <w:proofErr w:type="spellStart"/>
      <w:r w:rsidRPr="00DC6267">
        <w:rPr>
          <w:rFonts w:ascii="Arial" w:hAnsi="Arial" w:cs="Arial"/>
        </w:rPr>
        <w:t>Förmelei</w:t>
      </w:r>
      <w:proofErr w:type="spellEnd"/>
      <w:r w:rsidRPr="00DC6267">
        <w:rPr>
          <w:rFonts w:ascii="Arial" w:hAnsi="Arial" w:cs="Arial"/>
        </w:rPr>
        <w:t>. Das Risiko des Geschädigten wäre, wenn er dem Gutachten „blind“ vertraut, dass es einen so groben Fehler enthielte, den er auch mit seinem Laienverstand finden könnte. Das fiele ihm dann auf die Füße.</w:t>
      </w:r>
    </w:p>
    <w:p w14:paraId="3034CD0D" w14:textId="77777777" w:rsidR="008A6982" w:rsidRDefault="008A6982" w:rsidP="008A6982">
      <w:pPr>
        <w:spacing w:after="0"/>
        <w:ind w:right="1701"/>
        <w:jc w:val="both"/>
        <w:rPr>
          <w:rFonts w:ascii="Arial" w:hAnsi="Arial" w:cs="Arial"/>
        </w:rPr>
      </w:pPr>
    </w:p>
    <w:p w14:paraId="74AB3646" w14:textId="5A6E066F" w:rsidR="008A6982" w:rsidRPr="00DC6267" w:rsidRDefault="008A6982" w:rsidP="008A6982">
      <w:pPr>
        <w:spacing w:after="0"/>
        <w:ind w:right="1701"/>
        <w:jc w:val="both"/>
        <w:rPr>
          <w:rFonts w:ascii="Arial" w:hAnsi="Arial" w:cs="Arial"/>
        </w:rPr>
      </w:pPr>
      <w:r w:rsidRPr="00DC6267">
        <w:rPr>
          <w:rFonts w:ascii="Arial" w:hAnsi="Arial" w:cs="Arial"/>
        </w:rPr>
        <w:t>Die Themen, die regelmäßig Grundlage der Regresse sind, fallen in die vom AG Wesel zutreffend einsortierte Kategorie: Wenn ein Versicherer die nach seiner Auffassung zu beanstanden Punkte auch nicht selbst erkennt, sondern erst durch eine Gutachtenüberprüfungsfirma ermitteln lässt, ist es auszuschließen, dass der Laie sie allein erkennen könnte (AG Wesel, Urteil vom 21.11.2019, Az. 26 C 90/19).</w:t>
      </w:r>
    </w:p>
    <w:p w14:paraId="674E115D" w14:textId="77777777" w:rsidR="008A6982" w:rsidRPr="00DC6267" w:rsidRDefault="008A6982" w:rsidP="008A6982">
      <w:pPr>
        <w:spacing w:after="0"/>
        <w:ind w:right="1701"/>
        <w:jc w:val="both"/>
        <w:rPr>
          <w:rFonts w:ascii="Arial" w:hAnsi="Arial" w:cs="Arial"/>
        </w:rPr>
      </w:pPr>
    </w:p>
    <w:p w14:paraId="38FD1964" w14:textId="745780B2" w:rsidR="008A6982" w:rsidRPr="00DC6267" w:rsidRDefault="008A6982" w:rsidP="008A6982">
      <w:pPr>
        <w:spacing w:after="0"/>
        <w:ind w:right="1701"/>
        <w:jc w:val="both"/>
        <w:rPr>
          <w:rFonts w:ascii="Arial" w:hAnsi="Arial" w:cs="Arial"/>
        </w:rPr>
      </w:pPr>
      <w:r w:rsidRPr="00DC6267">
        <w:rPr>
          <w:rFonts w:ascii="Arial" w:hAnsi="Arial" w:cs="Arial"/>
        </w:rPr>
        <w:t>Folglich spricht auch nichts dagegen, dass der Geschädigte dem Gutachten per Vertrauensvorschuss blind im Voraus vertraut. So sagt das AG Stuttgart, Urteil vom 16.10.2020, Az. 44 C 607/20</w:t>
      </w:r>
      <w:r w:rsidR="00A43DEA">
        <w:rPr>
          <w:rFonts w:ascii="Arial" w:hAnsi="Arial" w:cs="Arial"/>
        </w:rPr>
        <w:t xml:space="preserve"> </w:t>
      </w:r>
      <w:r w:rsidRPr="00DC6267">
        <w:rPr>
          <w:rFonts w:ascii="Arial" w:hAnsi="Arial" w:cs="Arial"/>
        </w:rPr>
        <w:t xml:space="preserve">wörtlich: „Im Ergebnis kann es keinen Unterschied machen, ob der Geschädigte erst ein Sachverständigengutachten erstellen lässt und dann eine Werkstatt zur Reparatur auf Basis des Gutachtens anweist oder zunächst eine Werkstatt grundsätzlich mit der Reparatur beauftragt und aber erst mit Vorlage des Gutachtens die Reparaturfreigabe aufgrund des Gutachtens erteilt.“  </w:t>
      </w:r>
    </w:p>
    <w:p w14:paraId="60C3EDCA" w14:textId="77777777" w:rsidR="008A6982" w:rsidRPr="00DC6267" w:rsidRDefault="008A6982" w:rsidP="008A6982">
      <w:pPr>
        <w:spacing w:after="0"/>
        <w:ind w:right="1701"/>
        <w:jc w:val="both"/>
        <w:rPr>
          <w:rFonts w:ascii="Arial" w:hAnsi="Arial" w:cs="Arial"/>
        </w:rPr>
      </w:pPr>
    </w:p>
    <w:p w14:paraId="3AD79E2D" w14:textId="6248B699" w:rsidR="006C5A05" w:rsidRPr="008A6982" w:rsidRDefault="008A6982" w:rsidP="008A6982">
      <w:pPr>
        <w:spacing w:after="0"/>
        <w:ind w:right="1701"/>
        <w:jc w:val="both"/>
        <w:rPr>
          <w:rFonts w:ascii="Arial" w:hAnsi="Arial" w:cs="Arial"/>
        </w:rPr>
      </w:pPr>
      <w:r w:rsidRPr="00DC6267">
        <w:rPr>
          <w:rFonts w:ascii="Arial" w:hAnsi="Arial" w:cs="Arial"/>
        </w:rPr>
        <w:t>Das wird auch durch das Urteil des AG Zeven vom 07.04.2021, Az. 3 C 29/21</w:t>
      </w:r>
      <w:r w:rsidR="00A43DEA">
        <w:rPr>
          <w:rFonts w:ascii="Arial" w:hAnsi="Arial" w:cs="Arial"/>
        </w:rPr>
        <w:t xml:space="preserve"> </w:t>
      </w:r>
      <w:r w:rsidRPr="00DC6267">
        <w:rPr>
          <w:rFonts w:ascii="Arial" w:hAnsi="Arial" w:cs="Arial"/>
        </w:rPr>
        <w:t>bestätigt: „Hier hat der Geschädigte den Werkstatt-Auftrag vom 18.05.2020 erteilt. Dass das Schadensgutachten zu diesem Zeitpunkt noch nicht erstellt war, sondern erst am 19.05.2020 vorlag, ist ohne rechtliche Relevanz, da der Reparaturauftrag dahin ging, den Unfallschaden durch den Gutachter besichtigen zu lassen und laut Gutachten instand zu setzen.“</w:t>
      </w: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lastRenderedPageBreak/>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2D66" w14:textId="77777777" w:rsidR="006756AE" w:rsidRDefault="006756AE" w:rsidP="00B2150E">
      <w:pPr>
        <w:spacing w:after="0" w:line="240" w:lineRule="auto"/>
      </w:pPr>
      <w:r>
        <w:separator/>
      </w:r>
    </w:p>
  </w:endnote>
  <w:endnote w:type="continuationSeparator" w:id="0">
    <w:p w14:paraId="483640AE" w14:textId="77777777" w:rsidR="006756AE" w:rsidRDefault="006756AE"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0C439FD9"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657086">
      <w:rPr>
        <w:rFonts w:ascii="Arial" w:hAnsi="Arial" w:cs="Arial"/>
        <w:sz w:val="16"/>
        <w:szCs w:val="16"/>
      </w:rPr>
      <w:t>50482446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9DB2" w14:textId="77777777" w:rsidR="006756AE" w:rsidRDefault="006756AE" w:rsidP="00B2150E">
      <w:pPr>
        <w:spacing w:after="0" w:line="240" w:lineRule="auto"/>
      </w:pPr>
      <w:r>
        <w:separator/>
      </w:r>
    </w:p>
  </w:footnote>
  <w:footnote w:type="continuationSeparator" w:id="0">
    <w:p w14:paraId="397E04BB" w14:textId="77777777" w:rsidR="006756AE" w:rsidRDefault="006756AE"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0E"/>
    <w:rsid w:val="0002196D"/>
    <w:rsid w:val="00034A8B"/>
    <w:rsid w:val="00047F0E"/>
    <w:rsid w:val="00087A47"/>
    <w:rsid w:val="000A1660"/>
    <w:rsid w:val="000B07BE"/>
    <w:rsid w:val="000B778D"/>
    <w:rsid w:val="000C67E6"/>
    <w:rsid w:val="000D00F1"/>
    <w:rsid w:val="000E216C"/>
    <w:rsid w:val="000E3168"/>
    <w:rsid w:val="000E5957"/>
    <w:rsid w:val="00143FAD"/>
    <w:rsid w:val="00151769"/>
    <w:rsid w:val="00195308"/>
    <w:rsid w:val="001A2C2E"/>
    <w:rsid w:val="001A4CE6"/>
    <w:rsid w:val="001B0D45"/>
    <w:rsid w:val="001B5725"/>
    <w:rsid w:val="001E0C39"/>
    <w:rsid w:val="001E7BC9"/>
    <w:rsid w:val="001F4DAB"/>
    <w:rsid w:val="00215ABE"/>
    <w:rsid w:val="0023011E"/>
    <w:rsid w:val="002373E0"/>
    <w:rsid w:val="00241789"/>
    <w:rsid w:val="00242616"/>
    <w:rsid w:val="00274341"/>
    <w:rsid w:val="00287115"/>
    <w:rsid w:val="002A5484"/>
    <w:rsid w:val="002A6C47"/>
    <w:rsid w:val="002D4A97"/>
    <w:rsid w:val="00305D08"/>
    <w:rsid w:val="00316204"/>
    <w:rsid w:val="00320EA2"/>
    <w:rsid w:val="00360B71"/>
    <w:rsid w:val="003843C6"/>
    <w:rsid w:val="003B0C0E"/>
    <w:rsid w:val="004033C6"/>
    <w:rsid w:val="00435BD2"/>
    <w:rsid w:val="0045307A"/>
    <w:rsid w:val="00453096"/>
    <w:rsid w:val="004C5C22"/>
    <w:rsid w:val="004D2AB7"/>
    <w:rsid w:val="004F4EA0"/>
    <w:rsid w:val="00544206"/>
    <w:rsid w:val="005753C2"/>
    <w:rsid w:val="00593354"/>
    <w:rsid w:val="005B24EC"/>
    <w:rsid w:val="005C53E8"/>
    <w:rsid w:val="00610AFA"/>
    <w:rsid w:val="00657086"/>
    <w:rsid w:val="006756AE"/>
    <w:rsid w:val="00675AFC"/>
    <w:rsid w:val="00682B08"/>
    <w:rsid w:val="006A385A"/>
    <w:rsid w:val="006B0D4D"/>
    <w:rsid w:val="006C5A05"/>
    <w:rsid w:val="006D2E7A"/>
    <w:rsid w:val="006F7D28"/>
    <w:rsid w:val="007162D0"/>
    <w:rsid w:val="00736EA3"/>
    <w:rsid w:val="007631D5"/>
    <w:rsid w:val="007712EC"/>
    <w:rsid w:val="00773F44"/>
    <w:rsid w:val="00844B9B"/>
    <w:rsid w:val="008453E4"/>
    <w:rsid w:val="00865455"/>
    <w:rsid w:val="0087647C"/>
    <w:rsid w:val="00887013"/>
    <w:rsid w:val="008957F2"/>
    <w:rsid w:val="008A6982"/>
    <w:rsid w:val="008B04E7"/>
    <w:rsid w:val="008B69CB"/>
    <w:rsid w:val="008C5382"/>
    <w:rsid w:val="008C7F29"/>
    <w:rsid w:val="00901837"/>
    <w:rsid w:val="00916CF4"/>
    <w:rsid w:val="00923F71"/>
    <w:rsid w:val="00950B9C"/>
    <w:rsid w:val="00984FD0"/>
    <w:rsid w:val="009923B9"/>
    <w:rsid w:val="00997F46"/>
    <w:rsid w:val="009A6C9A"/>
    <w:rsid w:val="009B5A39"/>
    <w:rsid w:val="009F01A8"/>
    <w:rsid w:val="009F4FFC"/>
    <w:rsid w:val="00A00DF1"/>
    <w:rsid w:val="00A033C2"/>
    <w:rsid w:val="00A43DEA"/>
    <w:rsid w:val="00AC24B7"/>
    <w:rsid w:val="00AD68A2"/>
    <w:rsid w:val="00AE07BD"/>
    <w:rsid w:val="00AF49EB"/>
    <w:rsid w:val="00B06839"/>
    <w:rsid w:val="00B1645A"/>
    <w:rsid w:val="00B2150E"/>
    <w:rsid w:val="00B55676"/>
    <w:rsid w:val="00B9664D"/>
    <w:rsid w:val="00BC1A18"/>
    <w:rsid w:val="00BF3C59"/>
    <w:rsid w:val="00CF57DB"/>
    <w:rsid w:val="00D45578"/>
    <w:rsid w:val="00D6407F"/>
    <w:rsid w:val="00D945D3"/>
    <w:rsid w:val="00DA1E2A"/>
    <w:rsid w:val="00DC6EAC"/>
    <w:rsid w:val="00E02532"/>
    <w:rsid w:val="00E06B60"/>
    <w:rsid w:val="00E102A2"/>
    <w:rsid w:val="00E33B46"/>
    <w:rsid w:val="00E60AAC"/>
    <w:rsid w:val="00E77757"/>
    <w:rsid w:val="00EA7C3F"/>
    <w:rsid w:val="00EB29A4"/>
    <w:rsid w:val="00EE20F8"/>
    <w:rsid w:val="00EF5ABB"/>
    <w:rsid w:val="00F16671"/>
    <w:rsid w:val="00F52F7E"/>
    <w:rsid w:val="00F57F68"/>
    <w:rsid w:val="00F62FF2"/>
    <w:rsid w:val="00F71C96"/>
    <w:rsid w:val="00F9296A"/>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8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3</cp:revision>
  <cp:lastPrinted>2023-12-04T11:30:00Z</cp:lastPrinted>
  <dcterms:created xsi:type="dcterms:W3CDTF">2025-08-14T09:16:00Z</dcterms:created>
  <dcterms:modified xsi:type="dcterms:W3CDTF">2025-08-18T10:43:00Z</dcterms:modified>
</cp:coreProperties>
</file>