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135B8AEF"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proofErr w:type="gramStart"/>
      <w:r w:rsidR="008A4ABE">
        <w:rPr>
          <w:rFonts w:cs="Arial"/>
        </w:rPr>
        <w:t>VA Verkehrsrecht</w:t>
      </w:r>
      <w:proofErr w:type="gramEnd"/>
      <w:r w:rsidR="008A4ABE">
        <w:rPr>
          <w:rFonts w:cs="Arial"/>
        </w:rPr>
        <w:t xml:space="preserve"> aktuell</w:t>
      </w:r>
      <w:r w:rsidR="00901837" w:rsidRPr="00A033C2">
        <w:rPr>
          <w:rFonts w:cs="Arial"/>
        </w:rPr>
        <w:t xml:space="preserve"> </w:t>
      </w:r>
      <w:r w:rsidR="008A4ABE">
        <w:rPr>
          <w:rFonts w:cs="Arial"/>
        </w:rPr>
        <w:t>02</w:t>
      </w:r>
      <w:r w:rsidR="00901837" w:rsidRPr="00A033C2">
        <w:rPr>
          <w:rFonts w:cs="Arial"/>
        </w:rPr>
        <w:t>/20</w:t>
      </w:r>
      <w:r w:rsidR="008A4ABE">
        <w:rPr>
          <w:rFonts w:cs="Arial"/>
        </w:rPr>
        <w:t>26</w:t>
      </w:r>
      <w:r w:rsidR="00901837" w:rsidRPr="00A033C2">
        <w:rPr>
          <w:rFonts w:cs="Arial"/>
        </w:rPr>
        <w:t xml:space="preserve">, S. </w:t>
      </w:r>
      <w:r w:rsidR="008A4ABE">
        <w:rPr>
          <w:rFonts w:cs="Arial"/>
        </w:rPr>
        <w:t>28</w:t>
      </w:r>
    </w:p>
    <w:p w14:paraId="6D7EE4BA" w14:textId="77777777" w:rsidR="008A4ABE" w:rsidRDefault="008A4ABE" w:rsidP="00A033C2">
      <w:pPr>
        <w:pStyle w:val="A-berschriftgro"/>
        <w:rPr>
          <w:rFonts w:ascii="Arial" w:hAnsi="Arial" w:cs="Arial"/>
        </w:rPr>
      </w:pPr>
    </w:p>
    <w:p w14:paraId="0511E929" w14:textId="39EDA926" w:rsidR="00901837" w:rsidRPr="00A033C2" w:rsidRDefault="008A4ABE" w:rsidP="00A033C2">
      <w:pPr>
        <w:pStyle w:val="A-berschriftgro"/>
        <w:rPr>
          <w:rFonts w:ascii="Arial" w:hAnsi="Arial" w:cs="Arial"/>
        </w:rPr>
      </w:pPr>
      <w:r>
        <w:rPr>
          <w:rFonts w:ascii="Arial" w:hAnsi="Arial" w:cs="Arial"/>
        </w:rPr>
        <w:t>Mietwagenregress: Auf eine Konzession kommt es nicht an</w:t>
      </w:r>
    </w:p>
    <w:p w14:paraId="1B2A77AE" w14:textId="77777777" w:rsidR="00901837" w:rsidRPr="00A033C2" w:rsidRDefault="00901837" w:rsidP="00901837">
      <w:pPr>
        <w:pStyle w:val="A-Grundtext"/>
      </w:pPr>
    </w:p>
    <w:p w14:paraId="22E44177" w14:textId="2073C6D1" w:rsidR="008A4ABE" w:rsidRDefault="008A4ABE" w:rsidP="00901837">
      <w:pPr>
        <w:pStyle w:val="A-Grundtext"/>
      </w:pPr>
      <w:r w:rsidRPr="008A4ABE">
        <w:t>Manche Versicherer versuchen, die Gerichte schriftsätzlich dadurch zu irritieren, dass sie behaupten, ein Mietwagen bedürfe einer „Konzessionierung“. Dafür verweisen sie auf § 49 Abs. 4 PersBefG. Mit dieser Musterformulierung können Sie argumentieren, warum das falsch ist.</w:t>
      </w:r>
    </w:p>
    <w:p w14:paraId="68440429" w14:textId="77777777" w:rsidR="008A4ABE" w:rsidRDefault="008A4ABE" w:rsidP="00901837">
      <w:pPr>
        <w:pStyle w:val="A-Grundtext"/>
      </w:pPr>
    </w:p>
    <w:p w14:paraId="30AA6B11" w14:textId="77777777" w:rsidR="008A4ABE" w:rsidRDefault="008A4ABE" w:rsidP="00901837">
      <w:pPr>
        <w:pStyle w:val="A-Grundtext"/>
      </w:pPr>
    </w:p>
    <w:p w14:paraId="117A3FF4" w14:textId="77777777" w:rsidR="008A4ABE" w:rsidRPr="00A033C2" w:rsidRDefault="008A4ABE"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Pr="00A033C2" w:rsidRDefault="00901837" w:rsidP="00A033C2">
      <w:pPr>
        <w:pStyle w:val="A-Grundtext"/>
      </w:pPr>
    </w:p>
    <w:p w14:paraId="4429686B" w14:textId="77777777" w:rsidR="008A4ABE" w:rsidRPr="008A4ABE" w:rsidRDefault="008A4ABE" w:rsidP="008A4ABE">
      <w:pPr>
        <w:pStyle w:val="A-Grundtext"/>
      </w:pPr>
      <w:r w:rsidRPr="008A4ABE">
        <w:t>1.</w:t>
      </w:r>
    </w:p>
    <w:p w14:paraId="0397A1DF" w14:textId="77777777" w:rsidR="008A4ABE" w:rsidRPr="008A4ABE" w:rsidRDefault="008A4ABE" w:rsidP="008A4ABE">
      <w:pPr>
        <w:pStyle w:val="A-Grundtext"/>
      </w:pPr>
      <w:r w:rsidRPr="008A4ABE">
        <w:t>Die Klägerin führt auch dieses Mal offensichtlich gezielt in die Irre (denn das wurde bei identischen Beteiligten auf der Klägerseite bereits in anderen Verfahren entlarvt), wenn sie vorträgt, § 49 Abs. 4 PersBefG sei die Regelung für das, was landläufig „Mietwagen“ genannt wird und in diesem Rechtsstreit der Streitgegenstand ist.</w:t>
      </w:r>
    </w:p>
    <w:p w14:paraId="4514EC83" w14:textId="77777777" w:rsidR="008A4ABE" w:rsidRDefault="008A4ABE" w:rsidP="008A4ABE">
      <w:pPr>
        <w:pStyle w:val="A-Grundtext"/>
      </w:pPr>
    </w:p>
    <w:p w14:paraId="384724AD" w14:textId="592DF708" w:rsidR="008A4ABE" w:rsidRPr="008A4ABE" w:rsidRDefault="008A4ABE" w:rsidP="008A4ABE">
      <w:pPr>
        <w:pStyle w:val="A-Grundtext"/>
      </w:pPr>
      <w:r w:rsidRPr="008A4ABE">
        <w:t>Wie bereits die Stellung dieser Regelung im Personenbeförderungsgesetz zeigt, geht es dort um ganz etwas anderes.</w:t>
      </w:r>
      <w:r>
        <w:t xml:space="preserve"> </w:t>
      </w:r>
      <w:r w:rsidRPr="008A4ABE">
        <w:t>Mietwagen im Sinne des Personenbeförderungsgesetzes ist – salopp gesagt – ein „Taxi ohne Taxischild“, oftmals unter Marken wie „</w:t>
      </w:r>
      <w:proofErr w:type="spellStart"/>
      <w:r w:rsidRPr="008A4ABE">
        <w:t>minicar</w:t>
      </w:r>
      <w:proofErr w:type="spellEnd"/>
      <w:r w:rsidRPr="008A4ABE">
        <w:t>“ oder ähnlich am Markt. Der Unterschied zum Taxi liegt darin, dass ein Taxi in seinem Einsatzgebiet jeden poten</w:t>
      </w:r>
      <w:r>
        <w:t>z</w:t>
      </w:r>
      <w:r w:rsidRPr="008A4ABE">
        <w:t>iellen Fahrgast aufsammeln darf, der sich als mitfahrwillig zu erkennen gibt, beispielsweise indem er am Straßenrand winkt.</w:t>
      </w:r>
    </w:p>
    <w:p w14:paraId="470707D0" w14:textId="77777777" w:rsidR="008A4ABE" w:rsidRDefault="008A4ABE" w:rsidP="008A4ABE">
      <w:pPr>
        <w:pStyle w:val="A-Grundtext"/>
      </w:pPr>
    </w:p>
    <w:p w14:paraId="4875819D" w14:textId="4C888AE2" w:rsidR="008A4ABE" w:rsidRDefault="008A4ABE" w:rsidP="008A4ABE">
      <w:pPr>
        <w:pStyle w:val="A-Grundtext"/>
      </w:pPr>
      <w:r w:rsidRPr="008A4ABE">
        <w:t>Ein Mietwagen hingegen darf nur auf vorherige Bestellung Fahrgäste aufnehmen.</w:t>
      </w:r>
      <w:r>
        <w:t xml:space="preserve"> </w:t>
      </w:r>
      <w:r w:rsidRPr="008A4ABE">
        <w:t xml:space="preserve">Ein Mietwagen ist Personenbeförderung mit Fahrer. Das Ganze steht im PersBefG </w:t>
      </w:r>
      <w:proofErr w:type="gramStart"/>
      <w:r w:rsidRPr="008A4ABE">
        <w:t>ja auch</w:t>
      </w:r>
      <w:proofErr w:type="gramEnd"/>
      <w:r w:rsidRPr="008A4ABE">
        <w:t xml:space="preserve"> im Abschnitt „Gelegenheitsverkehr mit Kraftfahrzeugen“. </w:t>
      </w:r>
    </w:p>
    <w:p w14:paraId="2E2BEC40" w14:textId="77777777" w:rsidR="008A4ABE" w:rsidRPr="008A4ABE" w:rsidRDefault="008A4ABE" w:rsidP="008A4ABE">
      <w:pPr>
        <w:pStyle w:val="A-Grundtext"/>
      </w:pPr>
    </w:p>
    <w:p w14:paraId="5EFA3A6D" w14:textId="77777777" w:rsidR="008A4ABE" w:rsidRPr="008A4ABE" w:rsidRDefault="008A4ABE" w:rsidP="008A4ABE">
      <w:pPr>
        <w:pStyle w:val="A-Grundtext"/>
        <w:rPr>
          <w:i/>
          <w:iCs/>
        </w:rPr>
      </w:pPr>
      <w:r w:rsidRPr="008A4ABE">
        <w:rPr>
          <w:i/>
          <w:iCs/>
        </w:rPr>
        <w:t>§ 46 Formen des Gelegenheitsverkehrs</w:t>
      </w:r>
    </w:p>
    <w:p w14:paraId="40A051FF" w14:textId="77777777" w:rsidR="008A4ABE" w:rsidRPr="008A4ABE" w:rsidRDefault="008A4ABE" w:rsidP="008A4ABE">
      <w:pPr>
        <w:pStyle w:val="A-Grundtext"/>
        <w:rPr>
          <w:i/>
          <w:iCs/>
        </w:rPr>
      </w:pPr>
      <w:r w:rsidRPr="008A4ABE">
        <w:rPr>
          <w:i/>
          <w:iCs/>
        </w:rPr>
        <w:t>(1) Gelegenheitsverkehr ist die Beförderung von Personen mit Kraftfahrzeugen, die nicht Linienverkehr nach den §§ 42, 42a, 43 und 44 ist.</w:t>
      </w:r>
    </w:p>
    <w:p w14:paraId="61767AC7" w14:textId="77777777" w:rsidR="008A4ABE" w:rsidRPr="008A4ABE" w:rsidRDefault="008A4ABE" w:rsidP="008A4ABE">
      <w:pPr>
        <w:pStyle w:val="A-Grundtext"/>
        <w:rPr>
          <w:i/>
          <w:iCs/>
        </w:rPr>
      </w:pPr>
      <w:r w:rsidRPr="008A4ABE">
        <w:rPr>
          <w:i/>
          <w:iCs/>
        </w:rPr>
        <w:t>(2) Als Formen des Gelegenheitsverkehrs sind nur zulässig</w:t>
      </w:r>
    </w:p>
    <w:p w14:paraId="195107A7" w14:textId="77777777" w:rsidR="008A4ABE" w:rsidRPr="008A4ABE" w:rsidRDefault="008A4ABE" w:rsidP="008A4ABE">
      <w:pPr>
        <w:pStyle w:val="A-Grundtext"/>
        <w:rPr>
          <w:i/>
          <w:iCs/>
        </w:rPr>
      </w:pPr>
      <w:r w:rsidRPr="008A4ABE">
        <w:rPr>
          <w:i/>
          <w:iCs/>
        </w:rPr>
        <w:t>1. Verkehr mit Taxen (§ 47),</w:t>
      </w:r>
    </w:p>
    <w:p w14:paraId="549F3F99" w14:textId="77777777" w:rsidR="008A4ABE" w:rsidRPr="008A4ABE" w:rsidRDefault="008A4ABE" w:rsidP="008A4ABE">
      <w:pPr>
        <w:pStyle w:val="A-Grundtext"/>
        <w:rPr>
          <w:i/>
          <w:iCs/>
        </w:rPr>
      </w:pPr>
      <w:r w:rsidRPr="008A4ABE">
        <w:rPr>
          <w:i/>
          <w:iCs/>
        </w:rPr>
        <w:t>2. Ausflugsfahrten und Ferienziel-Reisen (§ 48),</w:t>
      </w:r>
    </w:p>
    <w:p w14:paraId="7C57B7AE" w14:textId="77777777" w:rsidR="008A4ABE" w:rsidRPr="008A4ABE" w:rsidRDefault="008A4ABE" w:rsidP="008A4ABE">
      <w:pPr>
        <w:pStyle w:val="A-Grundtext"/>
        <w:rPr>
          <w:i/>
          <w:iCs/>
        </w:rPr>
      </w:pPr>
      <w:r w:rsidRPr="008A4ABE">
        <w:rPr>
          <w:i/>
          <w:iCs/>
        </w:rPr>
        <w:t>3. Verkehr mit Mietomnibussen und mit Mietwagen (§ 49),</w:t>
      </w:r>
    </w:p>
    <w:p w14:paraId="4C2E8C04" w14:textId="77777777" w:rsidR="008A4ABE" w:rsidRPr="008A4ABE" w:rsidRDefault="008A4ABE" w:rsidP="008A4ABE">
      <w:pPr>
        <w:pStyle w:val="A-Grundtext"/>
        <w:rPr>
          <w:i/>
          <w:iCs/>
        </w:rPr>
      </w:pPr>
      <w:r w:rsidRPr="008A4ABE">
        <w:rPr>
          <w:i/>
          <w:iCs/>
        </w:rPr>
        <w:t>4. gebündelter Bedarfsverkehr (§ 50).</w:t>
      </w:r>
    </w:p>
    <w:p w14:paraId="30BE4E65" w14:textId="77777777" w:rsidR="008A4ABE" w:rsidRPr="008A4ABE" w:rsidRDefault="008A4ABE" w:rsidP="008A4ABE">
      <w:pPr>
        <w:pStyle w:val="A-Grundtext"/>
        <w:rPr>
          <w:i/>
          <w:iCs/>
        </w:rPr>
      </w:pPr>
      <w:r w:rsidRPr="008A4ABE">
        <w:rPr>
          <w:i/>
          <w:iCs/>
        </w:rPr>
        <w:t>(3) In Orten mit mehr als 50 000 Einwohnern oder in den von der höheren Verwaltungsbehörde bestimmten Orten unter 50 000 Einwohnern darf eine Genehmigung für den Taxenverkehr, den Mietwagenverkehr oder den gebündelten Bedarfsverkehr nicht für denselben Personenkraftwagen erteilt werden.“</w:t>
      </w:r>
    </w:p>
    <w:p w14:paraId="061ABB09" w14:textId="77777777" w:rsidR="008A4ABE" w:rsidRDefault="008A4ABE" w:rsidP="008A4ABE">
      <w:pPr>
        <w:pStyle w:val="A-Grundtext"/>
      </w:pPr>
    </w:p>
    <w:p w14:paraId="0FD24379" w14:textId="66131BB4" w:rsidR="008A4ABE" w:rsidRPr="008A4ABE" w:rsidRDefault="008A4ABE" w:rsidP="008A4ABE">
      <w:pPr>
        <w:pStyle w:val="A-Grundtext"/>
      </w:pPr>
      <w:r w:rsidRPr="008A4ABE">
        <w:t>§ 49 Abs 4 PersBefG bestimmt:</w:t>
      </w:r>
    </w:p>
    <w:p w14:paraId="10733713" w14:textId="77777777" w:rsidR="008A4ABE" w:rsidRPr="008A4ABE" w:rsidRDefault="008A4ABE" w:rsidP="008A4ABE">
      <w:pPr>
        <w:pStyle w:val="A-Grundtext"/>
        <w:rPr>
          <w:i/>
          <w:iCs/>
        </w:rPr>
      </w:pPr>
      <w:r w:rsidRPr="008A4ABE">
        <w:rPr>
          <w:i/>
          <w:iCs/>
        </w:rPr>
        <w:t xml:space="preserve">4) Verkehr mit Mietwagen ist die Beförderung von Personen mit Personenkraftwagen, die nur im </w:t>
      </w:r>
      <w:proofErr w:type="gramStart"/>
      <w:r w:rsidRPr="008A4ABE">
        <w:rPr>
          <w:i/>
          <w:iCs/>
        </w:rPr>
        <w:t>ganzen</w:t>
      </w:r>
      <w:proofErr w:type="gramEnd"/>
      <w:r w:rsidRPr="008A4ABE">
        <w:rPr>
          <w:i/>
          <w:iCs/>
        </w:rPr>
        <w:t xml:space="preserve"> zur Beförderung gemietet werden und mit denen der Unternehmer Fahrten ausführt, deren Zweck, Ziel und Ablauf der Mieter bestimmt und die nicht Verkehr mit Taxen nach § 47 und nicht gebündelter Bedarfsverkehr nach § 50 sind. Mit Mietwagen dürfen nur Beförderungsaufträge ausgeführt werden, die am Betriebssitz oder in der Wohnung des Unternehmers eingegangen sind. Nach Ausführung des Beförderungsauftrags hat der Mietwagen unverzüglich zum Betriebssitz </w:t>
      </w:r>
      <w:r w:rsidRPr="008A4ABE">
        <w:rPr>
          <w:i/>
          <w:iCs/>
        </w:rPr>
        <w:lastRenderedPageBreak/>
        <w:t>zurückzukehren, es sei denn, er hat vor der Fahrt von seinem Betriebssitz oder der Wohnung oder während der Fahrt einen neuen Beförderungsauftrag erhalten.</w:t>
      </w:r>
    </w:p>
    <w:p w14:paraId="4749CEA0" w14:textId="77777777" w:rsidR="008A4ABE" w:rsidRDefault="008A4ABE" w:rsidP="008A4ABE">
      <w:pPr>
        <w:pStyle w:val="A-Grundtext"/>
      </w:pPr>
    </w:p>
    <w:p w14:paraId="2F149DA2" w14:textId="1735172C" w:rsidR="008A4ABE" w:rsidRPr="008A4ABE" w:rsidRDefault="008A4ABE" w:rsidP="008A4ABE">
      <w:pPr>
        <w:pStyle w:val="A-Grundtext"/>
      </w:pPr>
      <w:r w:rsidRPr="008A4ABE">
        <w:t xml:space="preserve">Es ist also leicht zu erkennen, dass der Rekurs auf § 49 PersBefG das Thema dieses Rechtsstreits gründlich verfehlt und nur dazu dient vorzugaukeln, ein Mietwagen im landläufigen Sinne (also der aus diesem Rechtsstreit, nicht der aus dem PersBefG) müsse „konzessioniert“ sein. </w:t>
      </w:r>
    </w:p>
    <w:p w14:paraId="44F01F80" w14:textId="77777777" w:rsidR="008A4ABE" w:rsidRPr="008A4ABE" w:rsidRDefault="008A4ABE" w:rsidP="008A4ABE">
      <w:pPr>
        <w:pStyle w:val="A-Grundtext"/>
      </w:pPr>
      <w:r w:rsidRPr="008A4ABE">
        <w:t>Damit entfallen auch alle zusätzlichen Kostenfaktoren, die die Klägerin dem Mietfahrzeug auf dieser Grundlage zuordnet.</w:t>
      </w:r>
    </w:p>
    <w:p w14:paraId="63AD3A5D" w14:textId="77777777" w:rsidR="008A4ABE" w:rsidRDefault="008A4ABE" w:rsidP="008A4ABE">
      <w:pPr>
        <w:pStyle w:val="A-Grundtext"/>
      </w:pPr>
    </w:p>
    <w:p w14:paraId="4AF54E90" w14:textId="6AC6B226" w:rsidR="008A4ABE" w:rsidRPr="008A4ABE" w:rsidRDefault="008A4ABE" w:rsidP="008A4ABE">
      <w:pPr>
        <w:pStyle w:val="A-Grundtext"/>
      </w:pPr>
      <w:r w:rsidRPr="008A4ABE">
        <w:t>2.</w:t>
      </w:r>
    </w:p>
    <w:p w14:paraId="37C8B87B" w14:textId="07A4E49F" w:rsidR="008A4ABE" w:rsidRPr="008A4ABE" w:rsidRDefault="008A4ABE" w:rsidP="008A4ABE">
      <w:pPr>
        <w:pStyle w:val="A-Grundtext"/>
      </w:pPr>
      <w:r w:rsidRPr="008A4ABE">
        <w:t>In diesem Rechtsstreit geht es um „</w:t>
      </w:r>
      <w:proofErr w:type="spellStart"/>
      <w:r w:rsidRPr="008A4ABE">
        <w:t>Vermietfahrzeuge</w:t>
      </w:r>
      <w:proofErr w:type="spellEnd"/>
      <w:r w:rsidRPr="008A4ABE">
        <w:t xml:space="preserve"> für Selbstfahrer“, vulgo „</w:t>
      </w:r>
      <w:proofErr w:type="spellStart"/>
      <w:r w:rsidRPr="008A4ABE">
        <w:t>Selbstfahrervermietfahrzeuge</w:t>
      </w:r>
      <w:proofErr w:type="spellEnd"/>
      <w:r w:rsidRPr="008A4ABE">
        <w:t>“. Folglich gibt es auch keine „konzessionierten“ Fahrzeuge. Denn weil es um Fahrzeuge für Selbstfahrer geht, gibt es dabei eben keine Personenbeförderung im Rechtssinne.</w:t>
      </w:r>
    </w:p>
    <w:p w14:paraId="2A5A2505" w14:textId="77777777" w:rsidR="008A4ABE" w:rsidRPr="008A4ABE" w:rsidRDefault="008A4ABE" w:rsidP="008A4ABE">
      <w:pPr>
        <w:pStyle w:val="A-Grundtext"/>
      </w:pPr>
      <w:r w:rsidRPr="008A4ABE">
        <w:t>Das „</w:t>
      </w:r>
      <w:proofErr w:type="spellStart"/>
      <w:r w:rsidRPr="008A4ABE">
        <w:t>Vermietfahrzeug</w:t>
      </w:r>
      <w:proofErr w:type="spellEnd"/>
      <w:r w:rsidRPr="008A4ABE">
        <w:t xml:space="preserve"> für Selbstfahrer“ ist an ganz anderer Stelle geregelt, nämlich in einer Unterverordnung zur Straßenverkehrszulassungsordnung StVZO, genauer in § 6 IV Nr. 2 der Verordnung über die Zulassung von Fahrzeugen zum Straßenverkehr (Fahrzeug-Zulassungsverordnung - FZV)</w:t>
      </w:r>
    </w:p>
    <w:p w14:paraId="39CBC061" w14:textId="77777777" w:rsidR="008A4ABE" w:rsidRDefault="008A4ABE" w:rsidP="008A4ABE">
      <w:pPr>
        <w:pStyle w:val="A-Grundtext"/>
      </w:pPr>
    </w:p>
    <w:p w14:paraId="6FAD5A61" w14:textId="29388D68" w:rsidR="008A4ABE" w:rsidRPr="008A4ABE" w:rsidRDefault="008A4ABE" w:rsidP="008A4ABE">
      <w:pPr>
        <w:pStyle w:val="A-Grundtext"/>
      </w:pPr>
      <w:r w:rsidRPr="008A4ABE">
        <w:t>Das ist also weitaus niedriger aufgehängt.</w:t>
      </w:r>
      <w:r>
        <w:t xml:space="preserve"> </w:t>
      </w:r>
      <w:r w:rsidRPr="008A4ABE">
        <w:t>Es ist lediglich der Zulassungsstelle anzuzeigen, dass ein ganz normal zugelassener PKW zur Vermietung an Selbstfahrer verwendet wird.</w:t>
      </w:r>
      <w:r>
        <w:t xml:space="preserve"> </w:t>
      </w:r>
      <w:r w:rsidRPr="008A4ABE">
        <w:t xml:space="preserve">Die einzige Folge davon ist der verkürzte Rhythmus bei der Hauptuntersuchung, der auf 12 Monate verkürzt ist, </w:t>
      </w:r>
      <w:bookmarkStart w:id="0" w:name="_Hlk88595680"/>
      <w:r w:rsidRPr="008A4ABE">
        <w:t>Ziffer 2.2 Anlage VIII zu § 29 StVZO</w:t>
      </w:r>
      <w:bookmarkEnd w:id="0"/>
      <w:r w:rsidRPr="008A4ABE">
        <w:t>.</w:t>
      </w:r>
    </w:p>
    <w:p w14:paraId="7C339BC9" w14:textId="77777777" w:rsidR="008A4ABE" w:rsidRDefault="008A4ABE" w:rsidP="008A4ABE">
      <w:pPr>
        <w:pStyle w:val="A-Grundtext"/>
      </w:pPr>
      <w:bookmarkStart w:id="1" w:name="_Hlk88595604"/>
    </w:p>
    <w:p w14:paraId="6871403C" w14:textId="7995A04D" w:rsidR="008A4ABE" w:rsidRPr="008A4ABE" w:rsidRDefault="008A4ABE" w:rsidP="008A4ABE">
      <w:pPr>
        <w:pStyle w:val="A-Grundtext"/>
      </w:pPr>
      <w:r w:rsidRPr="008A4ABE">
        <w:t>Die Eichpflicht (auch das weiß die Klägerin) wurde bereits vor Jahren ausgesetzt, weil es dieser wegen der verbesserten technischen Eigenschaften von elektronischen Wegstreckenzählern nicht mehr bedarf.</w:t>
      </w:r>
    </w:p>
    <w:p w14:paraId="5BBA2785" w14:textId="77777777" w:rsidR="008A4ABE" w:rsidRPr="008A4ABE" w:rsidRDefault="008A4ABE" w:rsidP="008A4ABE">
      <w:pPr>
        <w:pStyle w:val="A-Grundtext"/>
        <w:numPr>
          <w:ilvl w:val="0"/>
          <w:numId w:val="4"/>
        </w:numPr>
      </w:pPr>
      <w:r w:rsidRPr="008A4ABE">
        <w:t>Beweis: Bundesgesetzblatt Jahrgang 2011 Teil I Nr. 27, ausgegeben zu Bonn am 16.11.2011, dort Seite 1037, rechte Spalte oben vierte Zeile</w:t>
      </w:r>
    </w:p>
    <w:p w14:paraId="22CED825" w14:textId="77777777" w:rsidR="008A4ABE" w:rsidRDefault="008A4ABE" w:rsidP="008A4ABE">
      <w:pPr>
        <w:pStyle w:val="A-Grundtext"/>
      </w:pPr>
    </w:p>
    <w:p w14:paraId="625123AC" w14:textId="0BFE1322" w:rsidR="008A4ABE" w:rsidRPr="008A4ABE" w:rsidRDefault="008A4ABE" w:rsidP="008A4ABE">
      <w:pPr>
        <w:pStyle w:val="A-Grundtext"/>
      </w:pPr>
      <w:r w:rsidRPr="008A4ABE">
        <w:t xml:space="preserve">Als Kostenbesonderheit – das aber auch nur theoretisch - schlägt also nur die häufigere Vorführung zur Hauptuntersuchung zu Buche, und zwar mit etwa 100 Euro per anno. Bei geschätzt 200 </w:t>
      </w:r>
      <w:proofErr w:type="spellStart"/>
      <w:r w:rsidRPr="008A4ABE">
        <w:t>Vermiettagen</w:t>
      </w:r>
      <w:proofErr w:type="spellEnd"/>
      <w:r w:rsidRPr="008A4ABE">
        <w:t xml:space="preserve"> eines „echten“ Mietwagens sind das 0,50 Euro pro Tag.</w:t>
      </w:r>
      <w:r>
        <w:t xml:space="preserve"> </w:t>
      </w:r>
      <w:r w:rsidRPr="008A4ABE">
        <w:t xml:space="preserve">Das ist aber blanke Theorie, denn die großen Mietwagenunternehmen sind verlängerte Werkbänke der Automobilhersteller. Der Markt will </w:t>
      </w:r>
      <w:proofErr w:type="gramStart"/>
      <w:r w:rsidRPr="008A4ABE">
        <w:t>ganz junge</w:t>
      </w:r>
      <w:proofErr w:type="gramEnd"/>
      <w:r w:rsidRPr="008A4ABE">
        <w:t xml:space="preserve"> Gebrauchtfahrzeuge, und die lassen sich sehr gut verkaufen. Die Hersteller produzieren aber nur neue Fahrzeuge. Um nun den Markt der jungen Gebrauchten zu speisen, schlagen die großen Autovermieter ihre Fahrzeuge mindestens zweimal, eher dreimal per anno um. </w:t>
      </w:r>
    </w:p>
    <w:p w14:paraId="5D0B8BAE" w14:textId="77777777" w:rsidR="008A4ABE" w:rsidRDefault="008A4ABE" w:rsidP="008A4ABE">
      <w:pPr>
        <w:pStyle w:val="A-Grundtext"/>
      </w:pPr>
    </w:p>
    <w:p w14:paraId="6DD689FF" w14:textId="2D30C1D0" w:rsidR="008A4ABE" w:rsidRPr="008A4ABE" w:rsidRDefault="008A4ABE" w:rsidP="008A4ABE">
      <w:pPr>
        <w:pStyle w:val="A-Grundtext"/>
      </w:pPr>
      <w:r w:rsidRPr="008A4ABE">
        <w:t xml:space="preserve">Jedenfalls im Vermietungszeitpunkt im </w:t>
      </w:r>
      <w:r w:rsidRPr="008A4ABE">
        <w:rPr>
          <w:i/>
          <w:iCs/>
        </w:rPr>
        <w:t>Monat Jahr</w:t>
      </w:r>
      <w:r w:rsidRPr="008A4ABE">
        <w:t xml:space="preserve"> galt: Mit allerspätestens sechs Monaten, aber in großer Zahl auch schon mit vier Monaten Alter werden die Mietwagen wieder </w:t>
      </w:r>
      <w:proofErr w:type="spellStart"/>
      <w:r w:rsidRPr="008A4ABE">
        <w:t>ausgeflottet</w:t>
      </w:r>
      <w:proofErr w:type="spellEnd"/>
      <w:r w:rsidRPr="008A4ABE">
        <w:t xml:space="preserve"> und gehen in den Handel zurück. </w:t>
      </w:r>
      <w:bookmarkEnd w:id="1"/>
      <w:r w:rsidRPr="008A4ABE">
        <w:t>Dann sind sie nach sechs Monaten keine Mietwagen mehr, und das Thema vorzeitiger Hauptuntersuchung hat sich erledigt.</w:t>
      </w:r>
    </w:p>
    <w:p w14:paraId="7C463375" w14:textId="77777777" w:rsidR="008A4ABE" w:rsidRDefault="008A4ABE" w:rsidP="008A4ABE">
      <w:pPr>
        <w:pStyle w:val="A-Grundtext"/>
      </w:pPr>
    </w:p>
    <w:p w14:paraId="5A78F312" w14:textId="428826D3" w:rsidR="008A4ABE" w:rsidRPr="008A4ABE" w:rsidRDefault="008A4ABE" w:rsidP="008A4ABE">
      <w:pPr>
        <w:pStyle w:val="A-Grundtext"/>
      </w:pPr>
      <w:r w:rsidRPr="008A4ABE">
        <w:t>Autovermieter, die eine fünfstellige Anzahl von Autos gleichzeitig versichern, werden als Großkunden gute Versicherungstarife haben. Immerhin behaupten die Versicherer doch selbst sehr regelmäßig, dass Großkunden allüberall Nachlässe bekommen. Dann wird es bei ihren Großkunden nicht anders sein.</w:t>
      </w:r>
    </w:p>
    <w:p w14:paraId="6F31DB93" w14:textId="77777777" w:rsidR="008A4ABE" w:rsidRDefault="008A4ABE" w:rsidP="008A4ABE">
      <w:pPr>
        <w:pStyle w:val="A-Grundtext"/>
      </w:pPr>
    </w:p>
    <w:p w14:paraId="6D11E80E" w14:textId="2C31024C" w:rsidR="008A4ABE" w:rsidRPr="008A4ABE" w:rsidRDefault="008A4ABE" w:rsidP="008A4ABE">
      <w:pPr>
        <w:pStyle w:val="A-Grundtext"/>
      </w:pPr>
      <w:r w:rsidRPr="008A4ABE">
        <w:t xml:space="preserve">Die von der Klägerin dargestellten Kostenvorteile des vermieteten Fahrzeugs schrumpfen damit auf </w:t>
      </w:r>
      <w:proofErr w:type="spellStart"/>
      <w:r w:rsidRPr="008A4ABE">
        <w:t>Null</w:t>
      </w:r>
      <w:proofErr w:type="spellEnd"/>
      <w:r w:rsidRPr="008A4ABE">
        <w:t>.</w:t>
      </w:r>
    </w:p>
    <w:p w14:paraId="273ADDFE" w14:textId="77777777" w:rsidR="008A4ABE" w:rsidRDefault="008A4ABE" w:rsidP="008A4ABE">
      <w:pPr>
        <w:pStyle w:val="A-Grundtext"/>
      </w:pPr>
    </w:p>
    <w:p w14:paraId="202B4B02" w14:textId="2D62771A" w:rsidR="008A4ABE" w:rsidRPr="008A4ABE" w:rsidRDefault="008A4ABE" w:rsidP="008A4ABE">
      <w:pPr>
        <w:pStyle w:val="A-Grundtext"/>
      </w:pPr>
      <w:r w:rsidRPr="008A4ABE">
        <w:t>Der Vortrag zu den von der Klägerin vorgetragenen angeblichen Kostenvorteilen ist so dünn, dass er einer sinnvollen Erwiderung nicht zugänglich ist.</w:t>
      </w:r>
      <w:r>
        <w:t xml:space="preserve"> </w:t>
      </w:r>
      <w:r w:rsidRPr="008A4ABE">
        <w:t xml:space="preserve">Der administrative Aufwand unterscheidet sich in </w:t>
      </w:r>
      <w:r w:rsidRPr="008A4ABE">
        <w:lastRenderedPageBreak/>
        <w:t xml:space="preserve">nichts. Denn ob ein Angestellter eines Autovermieters einen Mietvertrag ausfüllt, das Fahrzeug bei Rückgabe auf Schäden und darauf, ob es vollgetankt </w:t>
      </w:r>
      <w:proofErr w:type="gramStart"/>
      <w:r w:rsidRPr="008A4ABE">
        <w:t>ist</w:t>
      </w:r>
      <w:proofErr w:type="gramEnd"/>
      <w:r w:rsidRPr="008A4ABE">
        <w:t xml:space="preserve"> untersucht, es reinigt und wieder vermietungsfertig macht, oder ob das ein Mitarbeiter eines Autohauses tut, unterscheidet sich in nichts. Schon gar nicht unterscheidet er sich danach, ob das Fahrzeug den </w:t>
      </w:r>
      <w:proofErr w:type="spellStart"/>
      <w:r w:rsidRPr="008A4ABE">
        <w:t>Selbstfahrervermietfahrzeug</w:t>
      </w:r>
      <w:proofErr w:type="spellEnd"/>
      <w:r w:rsidRPr="008A4ABE">
        <w:t>-Vermerk in den Papieren trägt oder nicht.</w:t>
      </w:r>
    </w:p>
    <w:p w14:paraId="36B9A9F9" w14:textId="77777777" w:rsidR="00A64FC3" w:rsidRDefault="00A64FC3" w:rsidP="008A4ABE">
      <w:pPr>
        <w:pStyle w:val="A-Grundtext"/>
      </w:pPr>
    </w:p>
    <w:p w14:paraId="37E95C33" w14:textId="693FBEC6" w:rsidR="008A4ABE" w:rsidRPr="008A4ABE" w:rsidRDefault="008A4ABE" w:rsidP="008A4ABE">
      <w:pPr>
        <w:pStyle w:val="A-Grundtext"/>
      </w:pPr>
      <w:r w:rsidRPr="008A4ABE">
        <w:t>Weiterer Vortrag bleibt vorbehalten für den Fall, dass die Klägerin den Vortrag zu den Kostenvorteilen substan</w:t>
      </w:r>
      <w:r w:rsidR="00A64FC3">
        <w:t>z</w:t>
      </w:r>
      <w:r w:rsidRPr="008A4ABE">
        <w:t>iiert.</w:t>
      </w:r>
    </w:p>
    <w:p w14:paraId="0F770404" w14:textId="77777777" w:rsidR="00A64FC3" w:rsidRDefault="00A64FC3" w:rsidP="008A4ABE">
      <w:pPr>
        <w:pStyle w:val="A-Grundtext"/>
      </w:pPr>
    </w:p>
    <w:p w14:paraId="0E82ED84" w14:textId="0BBA91C6" w:rsidR="008A4ABE" w:rsidRPr="008A4ABE" w:rsidRDefault="008A4ABE" w:rsidP="008A4ABE">
      <w:pPr>
        <w:pStyle w:val="A-Grundtext"/>
      </w:pPr>
      <w:r w:rsidRPr="008A4ABE">
        <w:t>3.</w:t>
      </w:r>
    </w:p>
    <w:p w14:paraId="4FDEA463" w14:textId="77777777" w:rsidR="008A4ABE" w:rsidRPr="008A4ABE" w:rsidRDefault="008A4ABE" w:rsidP="008A4ABE">
      <w:pPr>
        <w:pStyle w:val="A-Grundtext"/>
      </w:pPr>
      <w:bookmarkStart w:id="2" w:name="_Hlk88596167"/>
      <w:r w:rsidRPr="008A4ABE">
        <w:t>Dass sich die Nutzung eines Fahrzeugs als Mietwagen negativ auf den Weiterverkaufspreis auswirkt, ist auch eine tradierte Behauptung aus alten Zeiten.</w:t>
      </w:r>
    </w:p>
    <w:p w14:paraId="00BBEBE3" w14:textId="77777777" w:rsidR="005F21A5" w:rsidRDefault="005F21A5" w:rsidP="008A4ABE">
      <w:pPr>
        <w:pStyle w:val="A-Grundtext"/>
      </w:pPr>
    </w:p>
    <w:p w14:paraId="2B555617" w14:textId="7C165B5D" w:rsidR="008A4ABE" w:rsidRPr="008A4ABE" w:rsidRDefault="008A4ABE" w:rsidP="008A4ABE">
      <w:pPr>
        <w:pStyle w:val="A-Grundtext"/>
      </w:pPr>
      <w:r w:rsidRPr="008A4ABE">
        <w:t>Sucht jemand ein Gebrauchtfahrzeug, das bis zu einem halben Jahr alt ist, stößt er am Markt weit überwiegend auf Vorführwagen (die ja nun auch nicht für eine monogame Nutzung bekannt sind) und auf Mietwagen. Dazwischen kann er noch auf Dienstwagen der Autohersteller und Händler zugreifen. Auch die sind in aller Regel von wechselnden Personenkreisen gefahren.</w:t>
      </w:r>
    </w:p>
    <w:p w14:paraId="0C501067" w14:textId="77777777" w:rsidR="005F21A5" w:rsidRDefault="005F21A5" w:rsidP="008A4ABE">
      <w:pPr>
        <w:pStyle w:val="A-Grundtext"/>
      </w:pPr>
    </w:p>
    <w:p w14:paraId="03D467F5" w14:textId="4455028F" w:rsidR="008A4ABE" w:rsidRPr="008A4ABE" w:rsidRDefault="008A4ABE" w:rsidP="008A4ABE">
      <w:pPr>
        <w:pStyle w:val="A-Grundtext"/>
      </w:pPr>
      <w:r w:rsidRPr="008A4ABE">
        <w:t>Denn außer diesen Erstnutzern speist nun einmal kaum jemand den Markt der Jungfahrzeuge.</w:t>
      </w:r>
    </w:p>
    <w:p w14:paraId="06A4CCF1" w14:textId="77777777" w:rsidR="008A4ABE" w:rsidRPr="008A4ABE" w:rsidRDefault="008A4ABE" w:rsidP="008A4ABE">
      <w:pPr>
        <w:pStyle w:val="A-Grundtext"/>
        <w:numPr>
          <w:ilvl w:val="0"/>
          <w:numId w:val="5"/>
        </w:numPr>
      </w:pPr>
      <w:r w:rsidRPr="008A4ABE">
        <w:t>Beweis unter Verwahrung gegen die Beweislast: Einholung eines Sachverständigengutachtens durch das Gericht</w:t>
      </w:r>
    </w:p>
    <w:p w14:paraId="5B088B5E" w14:textId="77777777" w:rsidR="005F21A5" w:rsidRDefault="005F21A5" w:rsidP="008A4ABE">
      <w:pPr>
        <w:pStyle w:val="A-Grundtext"/>
      </w:pPr>
    </w:p>
    <w:p w14:paraId="7B56F018" w14:textId="7692064C" w:rsidR="008A4ABE" w:rsidRPr="008A4ABE" w:rsidRDefault="008A4ABE" w:rsidP="008A4ABE">
      <w:pPr>
        <w:pStyle w:val="A-Grundtext"/>
      </w:pPr>
      <w:r w:rsidRPr="008A4ABE">
        <w:t xml:space="preserve">Sollte unter den </w:t>
      </w:r>
      <w:proofErr w:type="gramStart"/>
      <w:r w:rsidRPr="008A4ABE">
        <w:t>ganz jungen</w:t>
      </w:r>
      <w:proofErr w:type="gramEnd"/>
      <w:r w:rsidRPr="008A4ABE">
        <w:t xml:space="preserve"> Fahrzeugen tatsächlich eins mit einer privaten Erstzulassung sein, ist äußerste Vorsicht geboten. Mit hoher Wahrscheinlichkeit stammt das nämlich aus einem Rücktritt nach nicht gelungener Mängelbeseitigung, was nach überwiegender Rechtsprechung offenbarungspflichtig ist. Das Auto aus Privathand wird dann wenig wert sein.</w:t>
      </w:r>
    </w:p>
    <w:p w14:paraId="71C0E675" w14:textId="77777777" w:rsidR="005F21A5" w:rsidRDefault="005F21A5" w:rsidP="008A4ABE">
      <w:pPr>
        <w:pStyle w:val="A-Grundtext"/>
      </w:pPr>
    </w:p>
    <w:p w14:paraId="5145D1E9" w14:textId="71D7756E" w:rsidR="008A4ABE" w:rsidRPr="008A4ABE" w:rsidRDefault="008A4ABE" w:rsidP="008A4ABE">
      <w:pPr>
        <w:pStyle w:val="A-Grundtext"/>
      </w:pPr>
      <w:r w:rsidRPr="008A4ABE">
        <w:t xml:space="preserve">Die anderen müssen mangels Jungfahrzeugalternative vom interessierten Käufer entweder genommen oder nicht genommen werden. Wenn nämlich das gesamte Angebot aus „polygamer Nutzung“ stammt, hat keines der Fahrzeuge dadurch einen Makel </w:t>
      </w:r>
      <w:proofErr w:type="gramStart"/>
      <w:r w:rsidRPr="008A4ABE">
        <w:t>gegenüber den vergleichbaren anderen Fahrzeuge</w:t>
      </w:r>
      <w:proofErr w:type="gramEnd"/>
      <w:r w:rsidRPr="008A4ABE">
        <w:t>, der zum Preisnachlass zwänge.</w:t>
      </w:r>
    </w:p>
    <w:p w14:paraId="5042000E" w14:textId="77777777" w:rsidR="005F21A5" w:rsidRDefault="005F21A5" w:rsidP="008A4ABE">
      <w:pPr>
        <w:pStyle w:val="A-Grundtext"/>
      </w:pPr>
    </w:p>
    <w:p w14:paraId="7E92C7F5" w14:textId="10560D1E" w:rsidR="008A4ABE" w:rsidRPr="008A4ABE" w:rsidRDefault="008A4ABE" w:rsidP="008A4ABE">
      <w:pPr>
        <w:pStyle w:val="A-Grundtext"/>
      </w:pPr>
      <w:r w:rsidRPr="008A4ABE">
        <w:t>4.</w:t>
      </w:r>
    </w:p>
    <w:p w14:paraId="16128A96" w14:textId="64E66512" w:rsidR="008A4ABE" w:rsidRPr="008A4ABE" w:rsidRDefault="008A4ABE" w:rsidP="008A4ABE">
      <w:pPr>
        <w:pStyle w:val="A-Grundtext"/>
      </w:pPr>
      <w:r w:rsidRPr="008A4ABE">
        <w:t>Im Übrigen haben die „echten“ Autovermieter – umgekehrt als die Klägerin meint – einen Kostenvorteil gegenüber den vermietenden Autohäusern.</w:t>
      </w:r>
      <w:r w:rsidR="005F21A5">
        <w:t xml:space="preserve"> </w:t>
      </w:r>
      <w:r w:rsidRPr="008A4ABE">
        <w:t xml:space="preserve">Sie kaufen die Fahrzeuge (jedenfalls galt das in 2019) mit bis zu 40 Prozent Nachlass auf den Listenpreis, im Gegensatz zu den Autohändlern, die zumeist 18 Punkte Nachlass erhalten. Jedenfalls ist der Werksabgabepreis für die Autohäuser deutlich höher als der für die Autovermieter. </w:t>
      </w:r>
    </w:p>
    <w:p w14:paraId="6D4149EA" w14:textId="77777777" w:rsidR="005F21A5" w:rsidRDefault="005F21A5" w:rsidP="008A4ABE">
      <w:pPr>
        <w:pStyle w:val="A-Grundtext"/>
      </w:pPr>
    </w:p>
    <w:p w14:paraId="605B4F97" w14:textId="75C04C70" w:rsidR="008A4ABE" w:rsidRPr="008A4ABE" w:rsidRDefault="008A4ABE" w:rsidP="008A4ABE">
      <w:pPr>
        <w:pStyle w:val="A-Grundtext"/>
      </w:pPr>
      <w:r w:rsidRPr="008A4ABE">
        <w:t>Nach der mit dem Hersteller in dessen strategischen Interesse vereinbarten Haltezeit geben sie die Autos entweder an den Hersteller zurück oder sie vermarkten sie teilweise selbst (Beispiel SIXT) und erzielen dafür Preise, die über dem Einkaufspreis liegen.</w:t>
      </w:r>
    </w:p>
    <w:p w14:paraId="2A094F6A" w14:textId="77777777" w:rsidR="008A4ABE" w:rsidRPr="008A4ABE" w:rsidRDefault="008A4ABE" w:rsidP="008A4ABE">
      <w:pPr>
        <w:pStyle w:val="A-Grundtext"/>
        <w:numPr>
          <w:ilvl w:val="0"/>
          <w:numId w:val="5"/>
        </w:numPr>
      </w:pPr>
      <w:r w:rsidRPr="008A4ABE">
        <w:t>Beweis unter Verwahrung gegen die Beweislast: Einholung eines Sachverständigengutachtens durch das Gericht</w:t>
      </w:r>
    </w:p>
    <w:p w14:paraId="0CC30F33" w14:textId="77777777" w:rsidR="005F21A5" w:rsidRDefault="005F21A5" w:rsidP="008A4ABE">
      <w:pPr>
        <w:pStyle w:val="A-Grundtext"/>
      </w:pPr>
    </w:p>
    <w:p w14:paraId="42385D24" w14:textId="7CBD7F21" w:rsidR="008A4ABE" w:rsidRPr="008A4ABE" w:rsidRDefault="008A4ABE" w:rsidP="008A4ABE">
      <w:pPr>
        <w:pStyle w:val="A-Grundtext"/>
      </w:pPr>
      <w:r w:rsidRPr="008A4ABE">
        <w:t>Bei den Abschreibungen ist es folglich genau umgekehrt, als die Klägerin wähnt: Abschreibungen auf betrieblich eingesetzte Fahrzeuge richten sich nach der gewöhnlichen Haltedauer von 6 Jahren, die der Fiskus für Pkw ansetzt. Sie unterscheiden sich nicht bei Autovermietern oder bei vermietenden Autohäusern. Sie basieren auf dem tatsächlich gezahlten Kaufpreis.</w:t>
      </w:r>
    </w:p>
    <w:p w14:paraId="0759FA6F" w14:textId="77777777" w:rsidR="008A4ABE" w:rsidRPr="008A4ABE" w:rsidRDefault="008A4ABE" w:rsidP="008A4ABE">
      <w:pPr>
        <w:pStyle w:val="A-Grundtext"/>
      </w:pPr>
      <w:r w:rsidRPr="008A4ABE">
        <w:t>Je niedriger der eingesetzte Kaufpreis, desto niedriger die Abschreibung.</w:t>
      </w:r>
    </w:p>
    <w:p w14:paraId="303625F7" w14:textId="77777777" w:rsidR="005F21A5" w:rsidRDefault="005F21A5" w:rsidP="008A4ABE">
      <w:pPr>
        <w:pStyle w:val="A-Grundtext"/>
      </w:pPr>
    </w:p>
    <w:p w14:paraId="50C85562" w14:textId="77777777" w:rsidR="005F21A5" w:rsidRDefault="005F21A5" w:rsidP="008A4ABE">
      <w:pPr>
        <w:pStyle w:val="A-Grundtext"/>
      </w:pPr>
    </w:p>
    <w:p w14:paraId="21E92B53" w14:textId="285B473A" w:rsidR="008A4ABE" w:rsidRPr="008A4ABE" w:rsidRDefault="008A4ABE" w:rsidP="008A4ABE">
      <w:pPr>
        <w:pStyle w:val="A-Grundtext"/>
      </w:pPr>
      <w:r w:rsidRPr="008A4ABE">
        <w:lastRenderedPageBreak/>
        <w:t>5.</w:t>
      </w:r>
    </w:p>
    <w:p w14:paraId="092FCF12" w14:textId="77777777" w:rsidR="008A4ABE" w:rsidRPr="008A4ABE" w:rsidRDefault="008A4ABE" w:rsidP="008A4ABE">
      <w:pPr>
        <w:pStyle w:val="A-Grundtext"/>
      </w:pPr>
      <w:r w:rsidRPr="008A4ABE">
        <w:t>Die Beklagte verschafft sich also keinen Vorteil gegenüber dem echten Autovermieter.</w:t>
      </w:r>
    </w:p>
    <w:bookmarkEnd w:id="2"/>
    <w:p w14:paraId="4C772095" w14:textId="77777777" w:rsidR="005F21A5" w:rsidRDefault="005F21A5" w:rsidP="008A4ABE">
      <w:pPr>
        <w:pStyle w:val="A-Grundtext"/>
      </w:pPr>
    </w:p>
    <w:p w14:paraId="0A2796B2" w14:textId="30807E39" w:rsidR="008A4ABE" w:rsidRPr="008A4ABE" w:rsidRDefault="008A4ABE" w:rsidP="008A4ABE">
      <w:pPr>
        <w:pStyle w:val="A-Grundtext"/>
      </w:pPr>
      <w:r w:rsidRPr="008A4ABE">
        <w:t>6.</w:t>
      </w:r>
    </w:p>
    <w:p w14:paraId="2BCCE423" w14:textId="77777777" w:rsidR="008A4ABE" w:rsidRPr="008A4ABE" w:rsidRDefault="008A4ABE" w:rsidP="008A4ABE">
      <w:pPr>
        <w:pStyle w:val="A-Grundtext"/>
      </w:pPr>
      <w:r w:rsidRPr="008A4ABE">
        <w:t>Die Klägerin klagt aus abgetretenem Recht. Sie kann also nur Ansprüche auf Rückforderung geltend machen, die der Geschädigte als ihr Zedent auch hätte geltend machen können.</w:t>
      </w:r>
    </w:p>
    <w:p w14:paraId="09AD4D57" w14:textId="77777777" w:rsidR="005F21A5" w:rsidRDefault="005F21A5" w:rsidP="008A4ABE">
      <w:pPr>
        <w:pStyle w:val="A-Grundtext"/>
      </w:pPr>
    </w:p>
    <w:p w14:paraId="6E58D267" w14:textId="1129BFBC" w:rsidR="008A4ABE" w:rsidRPr="008A4ABE" w:rsidRDefault="008A4ABE" w:rsidP="008A4ABE">
      <w:pPr>
        <w:pStyle w:val="A-Grundtext"/>
      </w:pPr>
      <w:r w:rsidRPr="008A4ABE">
        <w:t>a.</w:t>
      </w:r>
    </w:p>
    <w:p w14:paraId="608CA264" w14:textId="12D243C6" w:rsidR="008A4ABE" w:rsidRPr="008A4ABE" w:rsidRDefault="008A4ABE" w:rsidP="008A4ABE">
      <w:pPr>
        <w:pStyle w:val="A-Grundtext"/>
      </w:pPr>
      <w:r w:rsidRPr="008A4ABE">
        <w:t>Der Zedent hat die Mietwagenrechnung vorbehaltlos bezahlt. In der vorbehaltlosen Zahlung einer Rechnung liegt ein Anerkenntnis. Letzteres schließt einen Rückforderungsanspruch aus (AG Gießen, Urteil vom 29.06.2021 – 49 C 140/20).</w:t>
      </w:r>
    </w:p>
    <w:p w14:paraId="45AC7AEB" w14:textId="77777777" w:rsidR="005F21A5" w:rsidRDefault="005F21A5" w:rsidP="008A4ABE">
      <w:pPr>
        <w:pStyle w:val="A-Grundtext"/>
      </w:pPr>
    </w:p>
    <w:p w14:paraId="0E3EC29A" w14:textId="587CC55E" w:rsidR="008A4ABE" w:rsidRPr="008A4ABE" w:rsidRDefault="008A4ABE" w:rsidP="008A4ABE">
      <w:pPr>
        <w:pStyle w:val="A-Grundtext"/>
      </w:pPr>
      <w:r w:rsidRPr="008A4ABE">
        <w:t>b.</w:t>
      </w:r>
    </w:p>
    <w:p w14:paraId="18BC537B" w14:textId="77777777" w:rsidR="008A4ABE" w:rsidRPr="008A4ABE" w:rsidRDefault="008A4ABE" w:rsidP="008A4ABE">
      <w:pPr>
        <w:pStyle w:val="A-Grundtext"/>
      </w:pPr>
      <w:r w:rsidRPr="008A4ABE">
        <w:t>Der Zedent hat eine Leistung zum Marktpreis bekommen. Das Fahrzeug war ordnungsgemäß versichert, denn der Handel- und Handwerkversicherer hinter der Beklagten hat die Vermietung des Fahrzeugs ausdrücklich im Versicherungsvertrag erlaubt. Es liegt damit keine ungenehmigte Gefahrerhöhung vor, die den Zedenten in irgendeine Schwierigkeit hätte bringen können.</w:t>
      </w:r>
    </w:p>
    <w:p w14:paraId="0BDB5EBE" w14:textId="77777777" w:rsidR="008A4ABE" w:rsidRPr="008A4ABE" w:rsidRDefault="008A4ABE" w:rsidP="008A4ABE">
      <w:pPr>
        <w:pStyle w:val="A-Grundtext"/>
        <w:numPr>
          <w:ilvl w:val="0"/>
          <w:numId w:val="5"/>
        </w:numPr>
      </w:pPr>
      <w:r w:rsidRPr="008A4ABE">
        <w:t>Beweis unter Verwahrung gegen die Beweislast: Vorlage der Versicherungspolice</w:t>
      </w:r>
    </w:p>
    <w:p w14:paraId="4605847A" w14:textId="77777777" w:rsidR="005F21A5" w:rsidRDefault="005F21A5" w:rsidP="008A4ABE">
      <w:pPr>
        <w:pStyle w:val="A-Grundtext"/>
      </w:pPr>
    </w:p>
    <w:p w14:paraId="79CE5651" w14:textId="277EC984" w:rsidR="008A4ABE" w:rsidRPr="008A4ABE" w:rsidRDefault="008A4ABE" w:rsidP="008A4ABE">
      <w:pPr>
        <w:pStyle w:val="A-Grundtext"/>
      </w:pPr>
      <w:r w:rsidRPr="008A4ABE">
        <w:t xml:space="preserve">Dass sich die Beklagte mit der Vermietung eventuell in irgendeiner Weise wettbewerbsrechtlich angreifbar macht, muss den Zedenten nicht kümmern. Die </w:t>
      </w:r>
      <w:proofErr w:type="gramStart"/>
      <w:r w:rsidRPr="008A4ABE">
        <w:t>Klägerin übrigens</w:t>
      </w:r>
      <w:proofErr w:type="gramEnd"/>
      <w:r w:rsidRPr="008A4ABE">
        <w:t xml:space="preserve"> auch nicht, denn sie ist keine Wettbewerberin.</w:t>
      </w:r>
    </w:p>
    <w:p w14:paraId="1AE3EF57" w14:textId="77777777" w:rsidR="005F21A5" w:rsidRDefault="005F21A5" w:rsidP="008A4ABE">
      <w:pPr>
        <w:pStyle w:val="A-Grundtext"/>
      </w:pPr>
    </w:p>
    <w:p w14:paraId="7BD26393" w14:textId="5CB806A6" w:rsidR="008A4ABE" w:rsidRPr="008A4ABE" w:rsidRDefault="008A4ABE" w:rsidP="008A4ABE">
      <w:pPr>
        <w:pStyle w:val="A-Grundtext"/>
      </w:pPr>
      <w:r w:rsidRPr="008A4ABE">
        <w:t>7.</w:t>
      </w:r>
    </w:p>
    <w:p w14:paraId="5142EBDF" w14:textId="77777777" w:rsidR="008A4ABE" w:rsidRPr="008A4ABE" w:rsidRDefault="008A4ABE" w:rsidP="008A4ABE">
      <w:pPr>
        <w:pStyle w:val="A-Grundtext"/>
      </w:pPr>
      <w:r w:rsidRPr="008A4ABE">
        <w:t>Sämtliche von der Klägerin zitierten Urteile zur Anmietung von wem auch immer beziehen sich auf „Privatvermietungen“. Die Vermietung durch die Beklagte ist hingegen eine gewerbliche Vermietung.</w:t>
      </w:r>
    </w:p>
    <w:p w14:paraId="7C2BD86D" w14:textId="77777777" w:rsidR="005F21A5" w:rsidRDefault="005F21A5" w:rsidP="008A4ABE">
      <w:pPr>
        <w:pStyle w:val="A-Grundtext"/>
      </w:pPr>
    </w:p>
    <w:p w14:paraId="0F5FB264" w14:textId="356198B3" w:rsidR="008A4ABE" w:rsidRPr="008A4ABE" w:rsidRDefault="008A4ABE" w:rsidP="008A4ABE">
      <w:pPr>
        <w:pStyle w:val="A-Grundtext"/>
      </w:pPr>
      <w:r w:rsidRPr="008A4ABE">
        <w:t>8.</w:t>
      </w:r>
    </w:p>
    <w:p w14:paraId="654B5AC7" w14:textId="77777777" w:rsidR="008A4ABE" w:rsidRPr="008A4ABE" w:rsidRDefault="008A4ABE" w:rsidP="008A4ABE">
      <w:pPr>
        <w:pStyle w:val="A-Grundtext"/>
      </w:pPr>
      <w:r w:rsidRPr="008A4ABE">
        <w:t xml:space="preserve">Dass der Zedent in </w:t>
      </w:r>
      <w:proofErr w:type="gramStart"/>
      <w:r w:rsidRPr="008A4ABE">
        <w:t>Höhe</w:t>
      </w:r>
      <w:proofErr w:type="gramEnd"/>
      <w:r w:rsidRPr="008A4ABE">
        <w:t xml:space="preserve"> der von der Beklagten nicht für nötig gehaltenen Mietzinshöhe keinen Schaden habe, ist erstens sachlich völlig falsch. Der Schaden besteht nämlich nicht in der Belastung mit einer Rechnung, sondern in der entfallenen Mobilität.</w:t>
      </w:r>
    </w:p>
    <w:p w14:paraId="523C7B54" w14:textId="77777777" w:rsidR="005F21A5" w:rsidRDefault="005F21A5" w:rsidP="008A4ABE">
      <w:pPr>
        <w:pStyle w:val="A-Grundtext"/>
      </w:pPr>
    </w:p>
    <w:p w14:paraId="16E663D4" w14:textId="391ABFCA" w:rsidR="008A4ABE" w:rsidRPr="008A4ABE" w:rsidRDefault="008A4ABE" w:rsidP="008A4ABE">
      <w:pPr>
        <w:pStyle w:val="A-Grundtext"/>
      </w:pPr>
      <w:r w:rsidRPr="008A4ABE">
        <w:t>Wäre es anders, gäbe es den Anspruch auf Nutzungsausfallentschädigung nicht. Die ist bekanntlich eine konkrete, aber der Höhe nach geschätzte Schadenposition. Eine Rechnung gibt es dabei nie.</w:t>
      </w:r>
    </w:p>
    <w:p w14:paraId="1F908632" w14:textId="77777777" w:rsidR="008A4ABE" w:rsidRPr="008A4ABE" w:rsidRDefault="008A4ABE" w:rsidP="008A4ABE">
      <w:pPr>
        <w:pStyle w:val="A-Grundtext"/>
      </w:pPr>
      <w:r w:rsidRPr="008A4ABE">
        <w:t>Zweitens kommt es darauf auch gar nicht an, denn dieser Prozess ist kein Schadenersatzprozess, sondern ein mietrechtlicher „rückwärts“.</w:t>
      </w:r>
    </w:p>
    <w:p w14:paraId="37B3D2B0" w14:textId="77777777" w:rsidR="005F21A5" w:rsidRDefault="005F21A5" w:rsidP="008A4ABE">
      <w:pPr>
        <w:pStyle w:val="A-Grundtext"/>
      </w:pPr>
    </w:p>
    <w:p w14:paraId="0678FF43" w14:textId="75542246" w:rsidR="008A4ABE" w:rsidRPr="008A4ABE" w:rsidRDefault="008A4ABE" w:rsidP="008A4ABE">
      <w:pPr>
        <w:pStyle w:val="A-Grundtext"/>
      </w:pPr>
      <w:r w:rsidRPr="008A4ABE">
        <w:t>9.</w:t>
      </w:r>
    </w:p>
    <w:p w14:paraId="6AE571AC" w14:textId="77777777" w:rsidR="008A4ABE" w:rsidRPr="008A4ABE" w:rsidRDefault="008A4ABE" w:rsidP="008A4ABE">
      <w:pPr>
        <w:pStyle w:val="A-Grundtext"/>
      </w:pPr>
      <w:r w:rsidRPr="008A4ABE">
        <w:t>Ein Geheimnis der Klägerin bleibt, wie sie auf „allenfalls“ XX Euro als berechtigten Anspruch kommt. Das ist weit unterhalb der Nutzungsausfallentschädigung. Die Zahl ist frei erfunden und damit keine Grundlage einer auch nur halbwegs schlüssigen Anspruchshöhenbegründung. Sie liegt weit unter der Nutzungsausfallentschädigung.</w:t>
      </w:r>
    </w:p>
    <w:p w14:paraId="3215F237" w14:textId="415B72CC" w:rsidR="00901837" w:rsidRPr="00A033C2" w:rsidRDefault="00901837" w:rsidP="00CF57DB">
      <w:pPr>
        <w:pStyle w:val="A-Grundtext"/>
      </w:pPr>
    </w:p>
    <w:p w14:paraId="3794F935" w14:textId="77777777" w:rsidR="00E77757" w:rsidRDefault="00E77757" w:rsidP="00A033C2">
      <w:pPr>
        <w:pStyle w:val="A-Grundtext"/>
      </w:pPr>
    </w:p>
    <w:p w14:paraId="4415ABB1" w14:textId="77777777" w:rsidR="00E77757" w:rsidRDefault="00E77757" w:rsidP="00A033C2">
      <w:pPr>
        <w:pStyle w:val="A-Grundtext"/>
      </w:pPr>
    </w:p>
    <w:p w14:paraId="5C663CC8" w14:textId="77777777" w:rsidR="00E77757" w:rsidRPr="00A033C2" w:rsidRDefault="00E77757" w:rsidP="00A033C2">
      <w:pPr>
        <w:pStyle w:val="A-Grundtext"/>
      </w:pPr>
    </w:p>
    <w:p w14:paraId="38FE8C89" w14:textId="77777777" w:rsidR="00901837" w:rsidRPr="00A033C2" w:rsidRDefault="00901837" w:rsidP="00901837">
      <w:pPr>
        <w:pStyle w:val="A-berschriftklein"/>
        <w:rPr>
          <w:caps/>
        </w:rPr>
      </w:pPr>
      <w:r w:rsidRPr="00A033C2">
        <w:rPr>
          <w:caps/>
        </w:rPr>
        <w:t>Erläuterungen</w:t>
      </w:r>
    </w:p>
    <w:p w14:paraId="18623FEF" w14:textId="77777777" w:rsidR="00901837" w:rsidRPr="00A033C2" w:rsidRDefault="00901837" w:rsidP="00901837">
      <w:pPr>
        <w:pStyle w:val="A-Grundtext"/>
      </w:pPr>
    </w:p>
    <w:p w14:paraId="0E0C05F0" w14:textId="71D998CF" w:rsidR="00901837" w:rsidRDefault="008A4ABE" w:rsidP="00901837">
      <w:pPr>
        <w:pStyle w:val="A-AufzhlungPunkt"/>
      </w:pPr>
      <w:r>
        <w:t>Details zu diesem Themenkreis lesen Sie in VA 26, 28.</w:t>
      </w:r>
    </w:p>
    <w:p w14:paraId="7E4C737E" w14:textId="77777777" w:rsidR="00FF3C83" w:rsidRPr="00FF3C83" w:rsidRDefault="00FF3C83" w:rsidP="00FF3C83">
      <w:pPr>
        <w:pStyle w:val="A-AufzhlungTab"/>
      </w:pPr>
    </w:p>
    <w:p w14:paraId="55F7A886" w14:textId="77777777" w:rsidR="00901837" w:rsidRDefault="00901837" w:rsidP="00A033C2">
      <w:pPr>
        <w:pStyle w:val="A-Grundtext"/>
      </w:pPr>
    </w:p>
    <w:p w14:paraId="1AF288C5" w14:textId="2763BDF7" w:rsidR="00FA25D6" w:rsidRPr="008A4ABE" w:rsidRDefault="00FA25D6" w:rsidP="0002774C">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lastRenderedPageBreak/>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8"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02774C">
      <w:headerReference w:type="default" r:id="rId9"/>
      <w:footerReference w:type="default" r:id="rId10"/>
      <w:headerReference w:type="first" r:id="rId11"/>
      <w:footerReference w:type="first" r:id="rId12"/>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DCEA7" w14:textId="77777777" w:rsidR="00AD5D21" w:rsidRDefault="00AD5D21" w:rsidP="00B2150E">
      <w:pPr>
        <w:spacing w:after="0" w:line="240" w:lineRule="auto"/>
      </w:pPr>
      <w:r>
        <w:separator/>
      </w:r>
    </w:p>
  </w:endnote>
  <w:endnote w:type="continuationSeparator" w:id="0">
    <w:p w14:paraId="6AF9A6E7" w14:textId="77777777" w:rsidR="00AD5D21" w:rsidRDefault="00AD5D21"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Offc Pro">
    <w:altName w:val="Segoe Script"/>
    <w:panose1 w:val="020B0504020101020102"/>
    <w:charset w:val="00"/>
    <w:family w:val="swiss"/>
    <w:pitch w:val="variable"/>
    <w:sig w:usb0="A00002BF" w:usb1="4000207B" w:usb2="00000008"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Pro-Regular">
    <w:altName w:val="Ligurino"/>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9479A9D" w14:textId="6FBF3AAF" w:rsidR="0002774C" w:rsidRPr="00B55676" w:rsidRDefault="0002774C" w:rsidP="0002774C">
    <w:pPr>
      <w:pStyle w:val="Fuzeile"/>
      <w:rPr>
        <w:rFonts w:ascii="Arial" w:hAnsi="Arial" w:cs="Arial"/>
        <w:sz w:val="16"/>
        <w:szCs w:val="16"/>
      </w:rPr>
    </w:pPr>
    <w:r>
      <w:rPr>
        <w:rFonts w:ascii="Arial" w:hAnsi="Arial" w:cs="Arial"/>
        <w:noProof/>
        <w:sz w:val="16"/>
        <w:szCs w:val="16"/>
      </w:rPr>
      <w:drawing>
        <wp:anchor distT="0" distB="0" distL="114300" distR="114300" simplePos="0" relativeHeight="251661312" behindDoc="0" locked="0" layoutInCell="1" allowOverlap="1" wp14:anchorId="5B034D41" wp14:editId="28B796BF">
          <wp:simplePos x="0" y="0"/>
          <wp:positionH relativeFrom="column">
            <wp:posOffset>3683377</wp:posOffset>
          </wp:positionH>
          <wp:positionV relativeFrom="paragraph">
            <wp:posOffset>65439</wp:posOffset>
          </wp:positionV>
          <wp:extent cx="2433955" cy="167640"/>
          <wp:effectExtent l="0" t="0" r="0" b="0"/>
          <wp:wrapNone/>
          <wp:docPr id="112939926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1793" name="Grafik 198231793"/>
                  <pic:cNvPicPr/>
                </pic:nvPicPr>
                <pic:blipFill>
                  <a:blip r:embed="rId1"/>
                  <a:stretch>
                    <a:fillRect/>
                  </a:stretch>
                </pic:blipFill>
                <pic:spPr>
                  <a:xfrm>
                    <a:off x="0" y="0"/>
                    <a:ext cx="2433955" cy="167640"/>
                  </a:xfrm>
                  <a:prstGeom prst="rect">
                    <a:avLst/>
                  </a:prstGeom>
                </pic:spPr>
              </pic:pic>
            </a:graphicData>
          </a:graphic>
          <wp14:sizeRelH relativeFrom="page">
            <wp14:pctWidth>0</wp14:pctWidth>
          </wp14:sizeRelH>
          <wp14:sizeRelV relativeFrom="page">
            <wp14:pctHeight>0</wp14:pctHeight>
          </wp14:sizeRelV>
        </wp:anchor>
      </w:drawing>
    </w:r>
    <w:r w:rsidRPr="00B55676">
      <w:rPr>
        <w:rFonts w:ascii="Arial" w:hAnsi="Arial" w:cs="Arial"/>
        <w:sz w:val="16"/>
        <w:szCs w:val="16"/>
      </w:rPr>
      <w:t xml:space="preserve"> </w:t>
    </w:r>
  </w:p>
  <w:p w14:paraId="44A1C0E4" w14:textId="3D0B3DE0" w:rsidR="00B2150E" w:rsidRDefault="00B2150E" w:rsidP="00B2150E">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2E121427" w:rsidR="008453E4" w:rsidRPr="00B55676" w:rsidRDefault="002B3921">
    <w:pPr>
      <w:pStyle w:val="Fuzeile"/>
      <w:rPr>
        <w:rFonts w:ascii="Arial" w:hAnsi="Arial" w:cs="Arial"/>
        <w:sz w:val="16"/>
        <w:szCs w:val="16"/>
      </w:rPr>
    </w:pPr>
    <w:r>
      <w:rPr>
        <w:rFonts w:ascii="Arial" w:hAnsi="Arial" w:cs="Arial"/>
        <w:noProof/>
        <w:sz w:val="16"/>
        <w:szCs w:val="16"/>
      </w:rPr>
      <w:drawing>
        <wp:anchor distT="0" distB="0" distL="114300" distR="114300" simplePos="0" relativeHeight="251657728" behindDoc="0" locked="0" layoutInCell="1" allowOverlap="1" wp14:anchorId="645FF2E2" wp14:editId="1C6F4F88">
          <wp:simplePos x="0" y="0"/>
          <wp:positionH relativeFrom="column">
            <wp:posOffset>3683377</wp:posOffset>
          </wp:positionH>
          <wp:positionV relativeFrom="paragraph">
            <wp:posOffset>65439</wp:posOffset>
          </wp:positionV>
          <wp:extent cx="2433955" cy="167640"/>
          <wp:effectExtent l="0" t="0" r="0" b="0"/>
          <wp:wrapNone/>
          <wp:docPr id="19823179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1793" name="Grafik 198231793"/>
                  <pic:cNvPicPr/>
                </pic:nvPicPr>
                <pic:blipFill>
                  <a:blip r:embed="rId1"/>
                  <a:stretch>
                    <a:fillRect/>
                  </a:stretch>
                </pic:blipFill>
                <pic:spPr>
                  <a:xfrm>
                    <a:off x="0" y="0"/>
                    <a:ext cx="2433955" cy="167640"/>
                  </a:xfrm>
                  <a:prstGeom prst="rect">
                    <a:avLst/>
                  </a:prstGeom>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8A4ABE">
      <w:rPr>
        <w:rFonts w:ascii="Arial" w:hAnsi="Arial" w:cs="Arial"/>
        <w:sz w:val="16"/>
        <w:szCs w:val="16"/>
      </w:rPr>
      <w:t>50675980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F9F87" w14:textId="77777777" w:rsidR="00AD5D21" w:rsidRDefault="00AD5D21" w:rsidP="00B2150E">
      <w:pPr>
        <w:spacing w:after="0" w:line="240" w:lineRule="auto"/>
      </w:pPr>
      <w:r>
        <w:separator/>
      </w:r>
    </w:p>
  </w:footnote>
  <w:footnote w:type="continuationSeparator" w:id="0">
    <w:p w14:paraId="6F285C03" w14:textId="77777777" w:rsidR="00AD5D21" w:rsidRDefault="00AD5D21"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68120FFF" w:rsidR="00B2150E" w:rsidRPr="003B0C0E" w:rsidRDefault="00FA25D6">
    <w:pPr>
      <w:pStyle w:val="Kopfzeile"/>
      <w:rPr>
        <w:rFonts w:ascii="DINPro-Regular" w:hAnsi="DINPro-Regular"/>
      </w:rPr>
    </w:pPr>
    <w:r>
      <w:rPr>
        <w:rFonts w:ascii="DINPro-Regular" w:hAnsi="DINPro-Regular"/>
        <w:noProof/>
      </w:rPr>
      <w:drawing>
        <wp:inline distT="0" distB="0" distL="0" distR="0" wp14:anchorId="17FC9743" wp14:editId="25287B51">
          <wp:extent cx="897167" cy="560231"/>
          <wp:effectExtent l="0" t="0" r="0" b="0"/>
          <wp:docPr id="352225984" name="Grafik 1" descr="Ein Bild, das Schrift, Logo,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25984" name="Grafik 1" descr="Ein Bild, das Schrift, Logo, Grafiken, Design enthält.&#10;&#10;KI-generierte Inhalte können fehlerhaft sein."/>
                  <pic:cNvPicPr/>
                </pic:nvPicPr>
                <pic:blipFill>
                  <a:blip r:embed="rId1"/>
                  <a:stretch>
                    <a:fillRect/>
                  </a:stretch>
                </pic:blipFill>
                <pic:spPr>
                  <a:xfrm>
                    <a:off x="0" y="0"/>
                    <a:ext cx="922840" cy="576262"/>
                  </a:xfrm>
                  <a:prstGeom prst="rect">
                    <a:avLst/>
                  </a:prstGeom>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09874504" w:rsidR="008453E4" w:rsidRDefault="002B3921">
    <w:pPr>
      <w:pStyle w:val="Kopfzeile"/>
    </w:pPr>
    <w:r>
      <w:rPr>
        <w:noProof/>
      </w:rPr>
      <w:drawing>
        <wp:inline distT="0" distB="0" distL="0" distR="0" wp14:anchorId="256F5158" wp14:editId="4F717E33">
          <wp:extent cx="930056" cy="580768"/>
          <wp:effectExtent l="0" t="0" r="0" b="0"/>
          <wp:docPr id="748140652" name="Grafik 1" descr="Ein Bild, das Schrift, Logo,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40652" name="Grafik 1" descr="Ein Bild, das Schrift, Logo, Grafiken, Design enthält.&#10;&#10;KI-generierte Inhalte können fehlerhaft sein."/>
                  <pic:cNvPicPr/>
                </pic:nvPicPr>
                <pic:blipFill>
                  <a:blip r:embed="rId1"/>
                  <a:stretch>
                    <a:fillRect/>
                  </a:stretch>
                </pic:blipFill>
                <pic:spPr>
                  <a:xfrm>
                    <a:off x="0" y="0"/>
                    <a:ext cx="944518" cy="589799"/>
                  </a:xfrm>
                  <a:prstGeom prst="rect">
                    <a:avLst/>
                  </a:prstGeom>
                </pic:spPr>
              </pic:pic>
            </a:graphicData>
          </a:graphic>
        </wp:inline>
      </w:drawing>
    </w: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62E4"/>
    <w:multiLevelType w:val="hybridMultilevel"/>
    <w:tmpl w:val="104CA9D4"/>
    <w:lvl w:ilvl="0" w:tplc="CEDA076C">
      <w:start w:val="2"/>
      <w:numFmt w:val="bullet"/>
      <w:lvlText w:val="-"/>
      <w:lvlJc w:val="left"/>
      <w:pPr>
        <w:ind w:left="850" w:hanging="360"/>
      </w:pPr>
      <w:rPr>
        <w:rFonts w:ascii="Arial" w:eastAsiaTheme="minorHAnsi" w:hAnsi="Arial" w:cs="Arial" w:hint="default"/>
      </w:rPr>
    </w:lvl>
    <w:lvl w:ilvl="1" w:tplc="04070003">
      <w:start w:val="1"/>
      <w:numFmt w:val="bullet"/>
      <w:lvlText w:val="o"/>
      <w:lvlJc w:val="left"/>
      <w:pPr>
        <w:ind w:left="1570" w:hanging="360"/>
      </w:pPr>
      <w:rPr>
        <w:rFonts w:ascii="Courier New" w:hAnsi="Courier New" w:cs="Courier New" w:hint="default"/>
      </w:rPr>
    </w:lvl>
    <w:lvl w:ilvl="2" w:tplc="04070005">
      <w:start w:val="1"/>
      <w:numFmt w:val="bullet"/>
      <w:lvlText w:val=""/>
      <w:lvlJc w:val="left"/>
      <w:pPr>
        <w:ind w:left="2290" w:hanging="360"/>
      </w:pPr>
      <w:rPr>
        <w:rFonts w:ascii="Wingdings" w:hAnsi="Wingdings" w:hint="default"/>
      </w:rPr>
    </w:lvl>
    <w:lvl w:ilvl="3" w:tplc="04070001">
      <w:start w:val="1"/>
      <w:numFmt w:val="bullet"/>
      <w:lvlText w:val=""/>
      <w:lvlJc w:val="left"/>
      <w:pPr>
        <w:ind w:left="3010" w:hanging="360"/>
      </w:pPr>
      <w:rPr>
        <w:rFonts w:ascii="Symbol" w:hAnsi="Symbol" w:hint="default"/>
      </w:rPr>
    </w:lvl>
    <w:lvl w:ilvl="4" w:tplc="04070003">
      <w:start w:val="1"/>
      <w:numFmt w:val="bullet"/>
      <w:lvlText w:val="o"/>
      <w:lvlJc w:val="left"/>
      <w:pPr>
        <w:ind w:left="3730" w:hanging="360"/>
      </w:pPr>
      <w:rPr>
        <w:rFonts w:ascii="Courier New" w:hAnsi="Courier New" w:cs="Courier New" w:hint="default"/>
      </w:rPr>
    </w:lvl>
    <w:lvl w:ilvl="5" w:tplc="04070005">
      <w:start w:val="1"/>
      <w:numFmt w:val="bullet"/>
      <w:lvlText w:val=""/>
      <w:lvlJc w:val="left"/>
      <w:pPr>
        <w:ind w:left="4450" w:hanging="360"/>
      </w:pPr>
      <w:rPr>
        <w:rFonts w:ascii="Wingdings" w:hAnsi="Wingdings" w:hint="default"/>
      </w:rPr>
    </w:lvl>
    <w:lvl w:ilvl="6" w:tplc="04070001">
      <w:start w:val="1"/>
      <w:numFmt w:val="bullet"/>
      <w:lvlText w:val=""/>
      <w:lvlJc w:val="left"/>
      <w:pPr>
        <w:ind w:left="5170" w:hanging="360"/>
      </w:pPr>
      <w:rPr>
        <w:rFonts w:ascii="Symbol" w:hAnsi="Symbol" w:hint="default"/>
      </w:rPr>
    </w:lvl>
    <w:lvl w:ilvl="7" w:tplc="04070003">
      <w:start w:val="1"/>
      <w:numFmt w:val="bullet"/>
      <w:lvlText w:val="o"/>
      <w:lvlJc w:val="left"/>
      <w:pPr>
        <w:ind w:left="5890" w:hanging="360"/>
      </w:pPr>
      <w:rPr>
        <w:rFonts w:ascii="Courier New" w:hAnsi="Courier New" w:cs="Courier New" w:hint="default"/>
      </w:rPr>
    </w:lvl>
    <w:lvl w:ilvl="8" w:tplc="04070005">
      <w:start w:val="1"/>
      <w:numFmt w:val="bullet"/>
      <w:lvlText w:val=""/>
      <w:lvlJc w:val="left"/>
      <w:pPr>
        <w:ind w:left="6610" w:hanging="360"/>
      </w:pPr>
      <w:rPr>
        <w:rFonts w:ascii="Wingdings" w:hAnsi="Wingdings" w:hint="default"/>
      </w:rPr>
    </w:lvl>
  </w:abstractNum>
  <w:abstractNum w:abstractNumId="1" w15:restartNumberingAfterBreak="0">
    <w:nsid w:val="426015CB"/>
    <w:multiLevelType w:val="hybridMultilevel"/>
    <w:tmpl w:val="5B5AEA50"/>
    <w:lvl w:ilvl="0" w:tplc="91B8C6F0">
      <w:numFmt w:val="bullet"/>
      <w:lvlText w:val="-"/>
      <w:lvlJc w:val="left"/>
      <w:pPr>
        <w:ind w:left="540" w:hanging="360"/>
      </w:pPr>
      <w:rPr>
        <w:rFonts w:ascii="Arial" w:eastAsiaTheme="minorHAnsi" w:hAnsi="Arial" w:cs="Arial" w:hint="default"/>
      </w:rPr>
    </w:lvl>
    <w:lvl w:ilvl="1" w:tplc="04070003">
      <w:start w:val="1"/>
      <w:numFmt w:val="bullet"/>
      <w:lvlText w:val="o"/>
      <w:lvlJc w:val="left"/>
      <w:pPr>
        <w:ind w:left="1260" w:hanging="360"/>
      </w:pPr>
      <w:rPr>
        <w:rFonts w:ascii="Courier New" w:hAnsi="Courier New" w:cs="Courier New" w:hint="default"/>
      </w:rPr>
    </w:lvl>
    <w:lvl w:ilvl="2" w:tplc="04070005">
      <w:start w:val="1"/>
      <w:numFmt w:val="bullet"/>
      <w:lvlText w:val=""/>
      <w:lvlJc w:val="left"/>
      <w:pPr>
        <w:ind w:left="1980" w:hanging="360"/>
      </w:pPr>
      <w:rPr>
        <w:rFonts w:ascii="Wingdings" w:hAnsi="Wingdings" w:hint="default"/>
      </w:rPr>
    </w:lvl>
    <w:lvl w:ilvl="3" w:tplc="04070001">
      <w:start w:val="1"/>
      <w:numFmt w:val="bullet"/>
      <w:lvlText w:val=""/>
      <w:lvlJc w:val="left"/>
      <w:pPr>
        <w:ind w:left="2700" w:hanging="360"/>
      </w:pPr>
      <w:rPr>
        <w:rFonts w:ascii="Symbol" w:hAnsi="Symbol" w:hint="default"/>
      </w:rPr>
    </w:lvl>
    <w:lvl w:ilvl="4" w:tplc="04070003">
      <w:start w:val="1"/>
      <w:numFmt w:val="bullet"/>
      <w:lvlText w:val="o"/>
      <w:lvlJc w:val="left"/>
      <w:pPr>
        <w:ind w:left="3420" w:hanging="360"/>
      </w:pPr>
      <w:rPr>
        <w:rFonts w:ascii="Courier New" w:hAnsi="Courier New" w:cs="Courier New" w:hint="default"/>
      </w:rPr>
    </w:lvl>
    <w:lvl w:ilvl="5" w:tplc="04070005">
      <w:start w:val="1"/>
      <w:numFmt w:val="bullet"/>
      <w:lvlText w:val=""/>
      <w:lvlJc w:val="left"/>
      <w:pPr>
        <w:ind w:left="4140" w:hanging="360"/>
      </w:pPr>
      <w:rPr>
        <w:rFonts w:ascii="Wingdings" w:hAnsi="Wingdings" w:hint="default"/>
      </w:rPr>
    </w:lvl>
    <w:lvl w:ilvl="6" w:tplc="04070001">
      <w:start w:val="1"/>
      <w:numFmt w:val="bullet"/>
      <w:lvlText w:val=""/>
      <w:lvlJc w:val="left"/>
      <w:pPr>
        <w:ind w:left="4860" w:hanging="360"/>
      </w:pPr>
      <w:rPr>
        <w:rFonts w:ascii="Symbol" w:hAnsi="Symbol" w:hint="default"/>
      </w:rPr>
    </w:lvl>
    <w:lvl w:ilvl="7" w:tplc="04070003">
      <w:start w:val="1"/>
      <w:numFmt w:val="bullet"/>
      <w:lvlText w:val="o"/>
      <w:lvlJc w:val="left"/>
      <w:pPr>
        <w:ind w:left="5580" w:hanging="360"/>
      </w:pPr>
      <w:rPr>
        <w:rFonts w:ascii="Courier New" w:hAnsi="Courier New" w:cs="Courier New" w:hint="default"/>
      </w:rPr>
    </w:lvl>
    <w:lvl w:ilvl="8" w:tplc="04070005">
      <w:start w:val="1"/>
      <w:numFmt w:val="bullet"/>
      <w:lvlText w:val=""/>
      <w:lvlJc w:val="left"/>
      <w:pPr>
        <w:ind w:left="6300" w:hanging="360"/>
      </w:pPr>
      <w:rPr>
        <w:rFonts w:ascii="Wingdings" w:hAnsi="Wingdings" w:hint="default"/>
      </w:rPr>
    </w:lvl>
  </w:abstractNum>
  <w:abstractNum w:abstractNumId="2"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2"/>
  </w:num>
  <w:num w:numId="2" w16cid:durableId="1384675516">
    <w:abstractNumId w:val="4"/>
  </w:num>
  <w:num w:numId="3" w16cid:durableId="100881069">
    <w:abstractNumId w:val="3"/>
  </w:num>
  <w:num w:numId="4" w16cid:durableId="762993928">
    <w:abstractNumId w:val="1"/>
    <w:lvlOverride w:ilvl="0"/>
    <w:lvlOverride w:ilvl="1"/>
    <w:lvlOverride w:ilvl="2"/>
    <w:lvlOverride w:ilvl="3"/>
    <w:lvlOverride w:ilvl="4"/>
    <w:lvlOverride w:ilvl="5"/>
    <w:lvlOverride w:ilvl="6"/>
    <w:lvlOverride w:ilvl="7"/>
    <w:lvlOverride w:ilvl="8"/>
  </w:num>
  <w:num w:numId="5" w16cid:durableId="166639271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2774C"/>
    <w:rsid w:val="00047F0E"/>
    <w:rsid w:val="000A1660"/>
    <w:rsid w:val="000B07BE"/>
    <w:rsid w:val="000B778D"/>
    <w:rsid w:val="000C67E6"/>
    <w:rsid w:val="000D00F1"/>
    <w:rsid w:val="000E216C"/>
    <w:rsid w:val="000E3168"/>
    <w:rsid w:val="000E5957"/>
    <w:rsid w:val="001137AC"/>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B3921"/>
    <w:rsid w:val="002D4A97"/>
    <w:rsid w:val="00316204"/>
    <w:rsid w:val="003204B7"/>
    <w:rsid w:val="00320EA2"/>
    <w:rsid w:val="00360B71"/>
    <w:rsid w:val="003843C6"/>
    <w:rsid w:val="003B0C0E"/>
    <w:rsid w:val="003E06D1"/>
    <w:rsid w:val="004033C6"/>
    <w:rsid w:val="00406A3B"/>
    <w:rsid w:val="0045307A"/>
    <w:rsid w:val="00453096"/>
    <w:rsid w:val="004C5C22"/>
    <w:rsid w:val="004D2AB7"/>
    <w:rsid w:val="004F4EA0"/>
    <w:rsid w:val="00544206"/>
    <w:rsid w:val="005753C2"/>
    <w:rsid w:val="00593354"/>
    <w:rsid w:val="005A1608"/>
    <w:rsid w:val="005B24EC"/>
    <w:rsid w:val="005C53E8"/>
    <w:rsid w:val="005F21A5"/>
    <w:rsid w:val="00610AFA"/>
    <w:rsid w:val="00682B08"/>
    <w:rsid w:val="006A385A"/>
    <w:rsid w:val="006B0D4D"/>
    <w:rsid w:val="006C5A05"/>
    <w:rsid w:val="006F7D28"/>
    <w:rsid w:val="006F7E0A"/>
    <w:rsid w:val="00736EA3"/>
    <w:rsid w:val="007631D5"/>
    <w:rsid w:val="007712EC"/>
    <w:rsid w:val="00844B9B"/>
    <w:rsid w:val="008453E4"/>
    <w:rsid w:val="00865455"/>
    <w:rsid w:val="0087647C"/>
    <w:rsid w:val="008957F2"/>
    <w:rsid w:val="008A4ABE"/>
    <w:rsid w:val="008B69CB"/>
    <w:rsid w:val="008C5382"/>
    <w:rsid w:val="008C7F29"/>
    <w:rsid w:val="008E7DA8"/>
    <w:rsid w:val="00901837"/>
    <w:rsid w:val="00916CF4"/>
    <w:rsid w:val="00923F71"/>
    <w:rsid w:val="00950B9C"/>
    <w:rsid w:val="009923B9"/>
    <w:rsid w:val="00997F46"/>
    <w:rsid w:val="009A6C9A"/>
    <w:rsid w:val="009B5A39"/>
    <w:rsid w:val="009F01A8"/>
    <w:rsid w:val="009F4FFC"/>
    <w:rsid w:val="00A00DF1"/>
    <w:rsid w:val="00A033C2"/>
    <w:rsid w:val="00A64FC3"/>
    <w:rsid w:val="00AC24B7"/>
    <w:rsid w:val="00AD5D21"/>
    <w:rsid w:val="00AD68A2"/>
    <w:rsid w:val="00AE07BD"/>
    <w:rsid w:val="00AF49EB"/>
    <w:rsid w:val="00B06839"/>
    <w:rsid w:val="00B1645A"/>
    <w:rsid w:val="00B2150E"/>
    <w:rsid w:val="00B55676"/>
    <w:rsid w:val="00B9664D"/>
    <w:rsid w:val="00BC1A18"/>
    <w:rsid w:val="00BF39A6"/>
    <w:rsid w:val="00CF57DB"/>
    <w:rsid w:val="00D45578"/>
    <w:rsid w:val="00D6407F"/>
    <w:rsid w:val="00D945D3"/>
    <w:rsid w:val="00DA1E2A"/>
    <w:rsid w:val="00DB4FA5"/>
    <w:rsid w:val="00DC6EAC"/>
    <w:rsid w:val="00E06B60"/>
    <w:rsid w:val="00E102A2"/>
    <w:rsid w:val="00E33B46"/>
    <w:rsid w:val="00E60AAC"/>
    <w:rsid w:val="00E77757"/>
    <w:rsid w:val="00EA7C3F"/>
    <w:rsid w:val="00EB29A4"/>
    <w:rsid w:val="00ED0188"/>
    <w:rsid w:val="00EF5ABB"/>
    <w:rsid w:val="00F16671"/>
    <w:rsid w:val="00F52F7E"/>
    <w:rsid w:val="00F71C96"/>
    <w:rsid w:val="00FA25D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iww.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82D11-CA0A-4D92-9D68-DB72A270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1650</Words>
  <Characters>10402</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Christian Stake</cp:lastModifiedBy>
  <cp:revision>14</cp:revision>
  <cp:lastPrinted>2023-12-04T11:30:00Z</cp:lastPrinted>
  <dcterms:created xsi:type="dcterms:W3CDTF">2022-08-04T11:26:00Z</dcterms:created>
  <dcterms:modified xsi:type="dcterms:W3CDTF">2026-01-12T10:35:00Z</dcterms:modified>
</cp:coreProperties>
</file>