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92FB" w14:textId="77777777" w:rsidR="00857A4D" w:rsidRPr="00A033C2" w:rsidRDefault="00857A4D" w:rsidP="00857A4D">
      <w:pPr>
        <w:pStyle w:val="A-Dachzeile"/>
        <w:rPr>
          <w:rFonts w:cs="Arial"/>
        </w:rPr>
      </w:pPr>
      <w:r>
        <w:rPr>
          <w:rFonts w:cs="Arial"/>
        </w:rPr>
        <w:t xml:space="preserve">Download-Dokument </w:t>
      </w:r>
    </w:p>
    <w:p w14:paraId="0C0F5DF6" w14:textId="77777777" w:rsidR="00760171" w:rsidRDefault="00760171" w:rsidP="00760171">
      <w:pPr>
        <w:pStyle w:val="A-berschriftgro"/>
        <w:spacing w:before="0" w:after="0" w:line="240" w:lineRule="auto"/>
      </w:pPr>
    </w:p>
    <w:p w14:paraId="3DB7070F" w14:textId="3157B033" w:rsidR="00760171" w:rsidRDefault="00760171" w:rsidP="00760171">
      <w:pPr>
        <w:pStyle w:val="A-berschriftgro"/>
        <w:spacing w:before="0" w:after="0" w:line="240" w:lineRule="auto"/>
      </w:pPr>
      <w:r>
        <w:t>Übersicht: Aufteilung und Zurechnung der Kosten</w:t>
      </w:r>
    </w:p>
    <w:p w14:paraId="6534AC97" w14:textId="77777777" w:rsidR="00857A4D" w:rsidRDefault="00857A4D" w:rsidP="00857A4D">
      <w:pPr>
        <w:pStyle w:val="A-berschriftklein"/>
        <w:spacing w:line="240" w:lineRule="auto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3122"/>
        <w:gridCol w:w="1916"/>
        <w:gridCol w:w="2098"/>
      </w:tblGrid>
      <w:tr w:rsidR="00760171" w:rsidRPr="00831DC8" w14:paraId="6E5DFBE4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871" w:type="dxa"/>
            <w:gridSpan w:val="4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8A2FF1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und Zurechnung der Aufwendungen des Arbeitgebers für eine Firmenfitnessmitgliedschaft</w:t>
            </w:r>
          </w:p>
        </w:tc>
      </w:tr>
      <w:tr w:rsidR="00760171" w:rsidRPr="00831DC8" w14:paraId="081CE81F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vMerge w:val="restar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538FD" w14:textId="77777777" w:rsidR="00760171" w:rsidRPr="00831DC8" w:rsidRDefault="00760171" w:rsidP="005C726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2" w:type="dxa"/>
            <w:vMerge w:val="restar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B80FC3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 xml:space="preserve">Aufteilung </w:t>
            </w: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auf AN </w:t>
            </w:r>
          </w:p>
        </w:tc>
        <w:tc>
          <w:tcPr>
            <w:tcW w:w="4014" w:type="dxa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17B1D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Zurechnung bei ...</w:t>
            </w:r>
          </w:p>
        </w:tc>
      </w:tr>
      <w:tr w:rsidR="00760171" w:rsidRPr="00831DC8" w14:paraId="18CEA089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vMerge/>
            <w:shd w:val="clear" w:color="auto" w:fill="FFFFFF" w:themeFill="background1"/>
          </w:tcPr>
          <w:p w14:paraId="5801A5E8" w14:textId="77777777" w:rsidR="00760171" w:rsidRPr="00831DC8" w:rsidRDefault="00760171" w:rsidP="005C726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2" w:type="dxa"/>
            <w:vMerge/>
            <w:shd w:val="clear" w:color="auto" w:fill="FFFFFF" w:themeFill="background1"/>
          </w:tcPr>
          <w:p w14:paraId="52469B68" w14:textId="77777777" w:rsidR="00760171" w:rsidRPr="00831DC8" w:rsidRDefault="00760171" w:rsidP="005C726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C4D4B9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AN, die das Angebot angenommen haben (registrierte AN)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1A549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 xml:space="preserve">AN, </w:t>
            </w:r>
            <w:proofErr w:type="gramStart"/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die Angebot</w:t>
            </w:r>
            <w:proofErr w:type="gramEnd"/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 xml:space="preserve"> annehmen könnten, aber nicht angenommen haben bzw. Verzicht erklären</w:t>
            </w:r>
          </w:p>
        </w:tc>
      </w:tr>
      <w:tr w:rsidR="00760171" w:rsidRPr="00831DC8" w14:paraId="1BDD68C0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17864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 xml:space="preserve">Laufende Kosten, bemessen nach der Zahl der AN, die das Angebot angenommen haben </w:t>
            </w: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br/>
              <w:t>(registrierte AN)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A47F40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nur auf AN, die das Angebot angenommen haben (registrierte AN)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29BCE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101AB6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entfällt</w:t>
            </w:r>
          </w:p>
        </w:tc>
      </w:tr>
      <w:tr w:rsidR="00760171" w:rsidRPr="00831DC8" w14:paraId="33027087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83CCF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Laufende Kosten, bemessen nach der Zahl der AN, die (ggf. maximal) teilnehmen könnten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19E61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die AN, die (ggf. maximal)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F5A629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45234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  <w:tr w:rsidR="00760171" w:rsidRPr="00831DC8" w14:paraId="55E47BC5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3CA80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Laufende Kosten, unabhängig von der Zahl der AN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C7A13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alle AN, die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40232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50318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  <w:tr w:rsidR="00760171" w:rsidRPr="00831DC8" w14:paraId="33498ACB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D1C6B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Einmalige Kosten, die für bestimmten Zeitraum entstehen, bemessen nach der Zahl der AN, die das Angebot angenommen haben (registrierte AN)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E80545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den Zeitraum</w:t>
            </w:r>
          </w:p>
          <w:p w14:paraId="451EFE16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nur auf AN, die das Angebot angenommen haben (registrierte AN)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06598C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63B9A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entfällt</w:t>
            </w:r>
          </w:p>
        </w:tc>
      </w:tr>
      <w:tr w:rsidR="00760171" w:rsidRPr="00831DC8" w14:paraId="25F8899F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E4D5D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Einmalige Kosten, die für bestimmten Zeitraum entstehen, bemessen nach der Zahl der AN, die (ggf. maximal) teilnehmen könnten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CAA46D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den Zeitraum</w:t>
            </w:r>
          </w:p>
          <w:p w14:paraId="6412D9EA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die AN, die (ggf. maximal)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3ECA90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DC702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  <w:tr w:rsidR="00760171" w:rsidRPr="00831DC8" w14:paraId="1EB5E110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44FD5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Einmalige Kosten, die für einen bestimmten Zeitraum entstehen, unabhängig von der Zahl der AN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78B9F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den Zeitraum</w:t>
            </w:r>
          </w:p>
          <w:p w14:paraId="35F44C85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alle AN, die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86A85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B7936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  <w:tr w:rsidR="00760171" w:rsidRPr="00831DC8" w14:paraId="4FC88E8D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7F17D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Einmalige Kosten, die ohne Bezug zu einem bestimmten Zeitraum entstehen, bemessen nach der Zahl der AN, die das Angebot angenommen haben (registrierte AN)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8179B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die Mindestvertragslaufzeit oder Zeitraum bis zur frühestmöglichen Kündigung</w:t>
            </w:r>
          </w:p>
          <w:p w14:paraId="0CBE954A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nur auf AN, die das Angebot angenommen haben</w:t>
            </w: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br/>
              <w:t>(registrierte AN)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71F4A7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C36A0E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entfällt</w:t>
            </w:r>
          </w:p>
        </w:tc>
      </w:tr>
      <w:tr w:rsidR="00760171" w:rsidRPr="00831DC8" w14:paraId="5E40B837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118D8A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Einmalige Kosten, die ohne Bezug zu einem bestimmten Zeitraum entstehen, bemessen nach der Zahl der AN, die (ggf. maximal) teilnehmen könnten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6FCA90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Mindestvertragslaufzeit oder Zeitraum bis zur frühestmöglichen Kündigung</w:t>
            </w:r>
          </w:p>
          <w:p w14:paraId="63BAD193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die AN, die (ggf. maximal)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06D763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1A26B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  <w:tr w:rsidR="00760171" w:rsidRPr="00831DC8" w14:paraId="36769CF5" w14:textId="77777777" w:rsidTr="005C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35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E7EB8C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Einmalige Kosten, die ohne Bezug zu einem bestimmten Zeitraum entstehen, unabhängig von der Zahl der AN</w:t>
            </w:r>
          </w:p>
        </w:tc>
        <w:tc>
          <w:tcPr>
            <w:tcW w:w="3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44456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Mindestvertragslaufzeit oder Zeitraum bis zur frühestmöglichen Kündigung</w:t>
            </w:r>
          </w:p>
          <w:p w14:paraId="0CFE4F11" w14:textId="77777777" w:rsidR="00760171" w:rsidRPr="00831DC8" w:rsidRDefault="00760171" w:rsidP="005C726C">
            <w:pPr>
              <w:tabs>
                <w:tab w:val="lef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ind w:left="227" w:hanging="227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Aufteilung auf alle AN, die teilnehmen könnten</w:t>
            </w:r>
          </w:p>
        </w:tc>
        <w:tc>
          <w:tcPr>
            <w:tcW w:w="1916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BFF05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Zurechnung</w:t>
            </w:r>
          </w:p>
        </w:tc>
        <w:tc>
          <w:tcPr>
            <w:tcW w:w="209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E30D01" w14:textId="77777777" w:rsidR="00760171" w:rsidRPr="00831DC8" w:rsidRDefault="00760171" w:rsidP="005C726C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1DC8">
              <w:rPr>
                <w:rFonts w:ascii="Arial" w:hAnsi="Arial" w:cs="Arial"/>
                <w:color w:val="000000"/>
                <w:sz w:val="21"/>
                <w:szCs w:val="21"/>
              </w:rPr>
              <w:t>→ Keine Zurechnung</w:t>
            </w:r>
          </w:p>
        </w:tc>
      </w:tr>
    </w:tbl>
    <w:p w14:paraId="456A9D8A" w14:textId="77777777" w:rsidR="00857A4D" w:rsidRPr="00FF3C83" w:rsidRDefault="00857A4D" w:rsidP="00857A4D">
      <w:pPr>
        <w:pStyle w:val="A-AufzhlungTab"/>
      </w:pPr>
    </w:p>
    <w:p w14:paraId="262A9FA9" w14:textId="77777777" w:rsidR="00857A4D" w:rsidRDefault="00857A4D" w:rsidP="00857A4D">
      <w:pPr>
        <w:pStyle w:val="A-Grundtext"/>
      </w:pPr>
    </w:p>
    <w:p w14:paraId="4C3BD8C8" w14:textId="77777777" w:rsidR="00857A4D" w:rsidRDefault="00857A4D" w:rsidP="00857A4D">
      <w:pPr>
        <w:pStyle w:val="A-Grundtext"/>
      </w:pPr>
    </w:p>
    <w:p w14:paraId="58916128" w14:textId="77777777" w:rsidR="00AE07BD" w:rsidRDefault="00AE07BD" w:rsidP="00A033C2">
      <w:pPr>
        <w:pStyle w:val="A-Grundtext"/>
      </w:pPr>
    </w:p>
    <w:p w14:paraId="5C491CC9" w14:textId="77777777" w:rsidR="00AE07BD" w:rsidRDefault="00AE07BD" w:rsidP="00A033C2">
      <w:pPr>
        <w:pStyle w:val="A-Grundtext"/>
      </w:pPr>
    </w:p>
    <w:p w14:paraId="7BE24261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121B" w14:textId="77777777" w:rsidR="008721B2" w:rsidRDefault="008721B2" w:rsidP="00B2150E">
      <w:pPr>
        <w:spacing w:after="0" w:line="240" w:lineRule="auto"/>
      </w:pPr>
      <w:r>
        <w:separator/>
      </w:r>
    </w:p>
  </w:endnote>
  <w:endnote w:type="continuationSeparator" w:id="0">
    <w:p w14:paraId="4AA80B21" w14:textId="77777777" w:rsidR="008721B2" w:rsidRDefault="008721B2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clid 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7777777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9876" w14:textId="77777777" w:rsidR="008721B2" w:rsidRDefault="008721B2" w:rsidP="00B2150E">
      <w:pPr>
        <w:spacing w:after="0" w:line="240" w:lineRule="auto"/>
      </w:pPr>
      <w:r>
        <w:separator/>
      </w:r>
    </w:p>
  </w:footnote>
  <w:footnote w:type="continuationSeparator" w:id="0">
    <w:p w14:paraId="35FA003A" w14:textId="77777777" w:rsidR="008721B2" w:rsidRDefault="008721B2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47F0E"/>
    <w:rsid w:val="000609C8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6991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46ECA"/>
    <w:rsid w:val="00360B71"/>
    <w:rsid w:val="003843C6"/>
    <w:rsid w:val="003B0C0E"/>
    <w:rsid w:val="003C009A"/>
    <w:rsid w:val="004033C6"/>
    <w:rsid w:val="0045307A"/>
    <w:rsid w:val="00453096"/>
    <w:rsid w:val="004719AB"/>
    <w:rsid w:val="004C5C22"/>
    <w:rsid w:val="004D2AB7"/>
    <w:rsid w:val="004F4EA0"/>
    <w:rsid w:val="0051636A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0171"/>
    <w:rsid w:val="007631D5"/>
    <w:rsid w:val="007712EC"/>
    <w:rsid w:val="00844B9B"/>
    <w:rsid w:val="008453E4"/>
    <w:rsid w:val="00857A4D"/>
    <w:rsid w:val="00865455"/>
    <w:rsid w:val="008721B2"/>
    <w:rsid w:val="0087647C"/>
    <w:rsid w:val="008957F2"/>
    <w:rsid w:val="008B0565"/>
    <w:rsid w:val="008B572A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60CF6"/>
    <w:rsid w:val="00B9664D"/>
    <w:rsid w:val="00BA4B03"/>
    <w:rsid w:val="00BC1A18"/>
    <w:rsid w:val="00CF57DB"/>
    <w:rsid w:val="00D45578"/>
    <w:rsid w:val="00D6407F"/>
    <w:rsid w:val="00D66ECC"/>
    <w:rsid w:val="00D945D3"/>
    <w:rsid w:val="00DA1E2A"/>
    <w:rsid w:val="00DC6EAC"/>
    <w:rsid w:val="00E06B60"/>
    <w:rsid w:val="00E102A2"/>
    <w:rsid w:val="00E33B46"/>
    <w:rsid w:val="00E60AAC"/>
    <w:rsid w:val="00E65C5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uiPriority w:val="99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uiPriority w:val="99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uiPriority w:val="99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uiPriority w:val="99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0TbGrundtextTabellenformate">
    <w:name w:val="tg0__Tb: Grundtext (Tabellenformate)"/>
    <w:basedOn w:val="Standard"/>
    <w:uiPriority w:val="99"/>
    <w:rsid w:val="00857A4D"/>
    <w:pPr>
      <w:tabs>
        <w:tab w:val="right" w:pos="6520"/>
        <w:tab w:val="right" w:pos="7087"/>
      </w:tabs>
      <w:autoSpaceDE w:val="0"/>
      <w:autoSpaceDN w:val="0"/>
      <w:adjustRightInd w:val="0"/>
      <w:spacing w:after="0" w:line="220" w:lineRule="atLeast"/>
      <w:textAlignment w:val="center"/>
    </w:pPr>
    <w:rPr>
      <w:rFonts w:ascii="DINPro-Regular" w:hAnsi="DINPro-Regular" w:cs="DINPro-Regular"/>
      <w:color w:val="000000"/>
      <w:sz w:val="19"/>
      <w:szCs w:val="19"/>
      <w:lang w:eastAsia="de-DE"/>
    </w:rPr>
  </w:style>
  <w:style w:type="paragraph" w:customStyle="1" w:styleId="tg1TbGrundtext">
    <w:name w:val="tg1__Tb: Grundtext"/>
    <w:aliases w:val="mittig (Tabellenformate)"/>
    <w:basedOn w:val="tg0TbGrundtextTabellenformate"/>
    <w:uiPriority w:val="99"/>
    <w:rsid w:val="00857A4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Selina Brzezycki</cp:lastModifiedBy>
  <cp:revision>2</cp:revision>
  <cp:lastPrinted>2023-12-04T11:30:00Z</cp:lastPrinted>
  <dcterms:created xsi:type="dcterms:W3CDTF">2025-06-26T10:16:00Z</dcterms:created>
  <dcterms:modified xsi:type="dcterms:W3CDTF">2025-06-26T10:16:00Z</dcterms:modified>
</cp:coreProperties>
</file>