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5C20B45D"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A466D9">
        <w:rPr>
          <w:rFonts w:cs="Arial"/>
        </w:rPr>
        <w:t>UE 10/2025</w:t>
      </w:r>
    </w:p>
    <w:p w14:paraId="0511E929" w14:textId="2507DC57" w:rsidR="00901837" w:rsidRPr="00A033C2" w:rsidRDefault="00A466D9" w:rsidP="00A033C2">
      <w:pPr>
        <w:pStyle w:val="A-berschriftgro"/>
        <w:rPr>
          <w:rFonts w:ascii="Arial" w:hAnsi="Arial" w:cs="Arial"/>
        </w:rPr>
      </w:pPr>
      <w:r>
        <w:rPr>
          <w:rFonts w:ascii="Arial" w:hAnsi="Arial" w:cs="Arial"/>
        </w:rPr>
        <w:t>RA078: Werkstattrisiko und die Abgrenzung von „Bei Gelegenheit“ zu „übertriebene Maßnahme“ (H)</w:t>
      </w:r>
    </w:p>
    <w:p w14:paraId="1B2A77AE" w14:textId="77777777" w:rsidR="00901837" w:rsidRDefault="00901837" w:rsidP="00901837">
      <w:pPr>
        <w:pStyle w:val="A-Grundtext"/>
      </w:pPr>
    </w:p>
    <w:p w14:paraId="27D0E695" w14:textId="77777777" w:rsidR="00A466D9" w:rsidRPr="00A466D9" w:rsidRDefault="00A466D9" w:rsidP="00A466D9">
      <w:pPr>
        <w:pStyle w:val="A-Grundtext"/>
        <w:rPr>
          <w:i/>
          <w:iCs/>
        </w:rPr>
      </w:pPr>
      <w:r w:rsidRPr="00A466D9">
        <w:rPr>
          <w:i/>
          <w:iCs/>
        </w:rPr>
        <w:t>Nur durch Rechtsanwälte zu verwenden, denn wenn die Werkstatt agiert, greift der subjektbezogene Schadenbegriff von vornherein nicht.</w:t>
      </w:r>
    </w:p>
    <w:p w14:paraId="4D78A14D" w14:textId="77777777" w:rsidR="00A466D9" w:rsidRPr="00A033C2" w:rsidRDefault="00A466D9"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14F6D3BA" w14:textId="77777777" w:rsidR="00A466D9" w:rsidRDefault="00A466D9" w:rsidP="00A466D9">
      <w:pPr>
        <w:pStyle w:val="A-Grundtext"/>
      </w:pPr>
      <w:r>
        <w:t>Ihr Versuch, die Anwendung des subjektbezogenen Schadenbegriffs in der Ausprägungsform des Werkstattrisikos zu torpedieren, ist untauglich.</w:t>
      </w:r>
    </w:p>
    <w:p w14:paraId="5C253FAA" w14:textId="77777777" w:rsidR="00A466D9" w:rsidRDefault="00A466D9" w:rsidP="00A466D9">
      <w:pPr>
        <w:pStyle w:val="A-Grundtext"/>
      </w:pPr>
    </w:p>
    <w:p w14:paraId="1C084656" w14:textId="77777777" w:rsidR="00A466D9" w:rsidRDefault="00A466D9" w:rsidP="00A466D9">
      <w:pPr>
        <w:pStyle w:val="A-Grundtext"/>
      </w:pPr>
      <w:r>
        <w:t>Die These, was (nach Auffassung Ihres Hauses) als Instandsetzungsmaßnehme nicht notwendig sei, sei nur „bei Gelegenheit der Instandsetzung“ erfolgt und somit nicht vom Schutz des Geschädigten unter dem Gesichtspunkt des Werkstattrisikos umfasst, trägt nicht.</w:t>
      </w:r>
    </w:p>
    <w:p w14:paraId="047F0219" w14:textId="77777777" w:rsidR="00A466D9" w:rsidRDefault="00A466D9" w:rsidP="00A466D9">
      <w:pPr>
        <w:pStyle w:val="A-Grundtext"/>
      </w:pPr>
    </w:p>
    <w:p w14:paraId="17803D0B" w14:textId="77777777" w:rsidR="00A466D9" w:rsidRDefault="00A466D9" w:rsidP="00A466D9">
      <w:pPr>
        <w:pStyle w:val="A-Grundtext"/>
      </w:pPr>
      <w:r>
        <w:t>Der BGH grenzt in mehreren Urteilen ab:</w:t>
      </w:r>
    </w:p>
    <w:p w14:paraId="2DB29F2C" w14:textId="77777777" w:rsidR="00A466D9" w:rsidRDefault="00A466D9" w:rsidP="00A466D9">
      <w:pPr>
        <w:pStyle w:val="A-Grundtext"/>
      </w:pPr>
    </w:p>
    <w:p w14:paraId="38911C19" w14:textId="76F80D34" w:rsidR="00A466D9" w:rsidRDefault="00A466D9" w:rsidP="00A466D9">
      <w:pPr>
        <w:pStyle w:val="A-Grundtext"/>
        <w:numPr>
          <w:ilvl w:val="0"/>
          <w:numId w:val="4"/>
        </w:numPr>
      </w:pPr>
      <w:r>
        <w:t>Ist die Beschädigung zwar auf den Unfall zurückzuführen, wurde jedoch zu üppig repariert, heißt es beim BGH (u.</w:t>
      </w:r>
      <w:r>
        <w:t xml:space="preserve"> </w:t>
      </w:r>
      <w:r>
        <w:t xml:space="preserve">a. Urteil vom 16.01.2024, Az. VI ZR 253/22, </w:t>
      </w:r>
      <w:proofErr w:type="spellStart"/>
      <w:r>
        <w:t>Rz</w:t>
      </w:r>
      <w:proofErr w:type="spellEnd"/>
      <w:r>
        <w:t>. 14</w:t>
      </w:r>
      <w:r>
        <w:t xml:space="preserve">, IWW-Abruf-Nr. </w:t>
      </w:r>
      <w:hyperlink r:id="rId7" w:tgtFrame="_blank" w:history="1">
        <w:r w:rsidRPr="00A466D9">
          <w:rPr>
            <w:rStyle w:val="Hyperlink"/>
            <w:rFonts w:cs="Arial"/>
          </w:rPr>
          <w:t>239194</w:t>
        </w:r>
      </w:hyperlink>
      <w:r>
        <w:t>): „Übergibt der Geschädigte das beschädigte Fahrzeug an eine Fachwerkstatt zur Instandsetzung, ohne dass ihn insoweit ein (insbesondere Auswahl- oder Überwachungs-)Verschulden trifft, sind dadurch anfallende Reparaturkosten im Verhältnis des Geschädigten zum Schädiger aufgrund der subjektbezogenen Schadensbetrachtung auch dann vollumfänglich ersatzfähig, wenn sie etwa wegen überhöhter Ansätze von Material oder Arbeitszeit oder wegen unsachgemäßer oder unwirtschaftlicher Arbeitsweise der Werkstatt unangemessen, mithin nicht erforderlich im Sinne von § 249 Abs. 2 Satz 1 BGB sind.“</w:t>
      </w:r>
    </w:p>
    <w:p w14:paraId="31EFBF01" w14:textId="77777777" w:rsidR="00A466D9" w:rsidRDefault="00A466D9" w:rsidP="00A466D9">
      <w:pPr>
        <w:pStyle w:val="A-Grundtext"/>
      </w:pPr>
    </w:p>
    <w:p w14:paraId="557F4D9F" w14:textId="77777777" w:rsidR="00A466D9" w:rsidRDefault="00A466D9" w:rsidP="00A466D9">
      <w:pPr>
        <w:pStyle w:val="A-Grundtext"/>
      </w:pPr>
      <w:r>
        <w:t>Der Sinn des subjektbezogenen Schadenbegriffs ist es insoweit, den Geschädigten vor Übertreibungen von Schadengutachter und/oder Werkstatt zu schützen, auf die er keinen Einfluss hatte. Entweder, weil ihm die Sachkunde fehlt, oder, weil er von zu Hause aus den Werkstattmitarbeiter nicht fernsteuern kann.</w:t>
      </w:r>
    </w:p>
    <w:p w14:paraId="0FD1B8D0" w14:textId="77777777" w:rsidR="00A466D9" w:rsidRDefault="00A466D9" w:rsidP="00A466D9">
      <w:pPr>
        <w:pStyle w:val="A-Grundtext"/>
      </w:pPr>
    </w:p>
    <w:p w14:paraId="7BABB430" w14:textId="49F37EA7" w:rsidR="00A466D9" w:rsidRDefault="00A466D9" w:rsidP="00A466D9">
      <w:pPr>
        <w:pStyle w:val="A-Grundtext"/>
        <w:numPr>
          <w:ilvl w:val="0"/>
          <w:numId w:val="4"/>
        </w:numPr>
      </w:pPr>
      <w:r>
        <w:t xml:space="preserve">Ist die Beschädigung gar nicht auf den Unfall zurückzuführen, sondern rührt sie aus einem anderen Schadenereignis her, gilt das nicht. Denn es ist nicht der Sinn des subjektbezogenen Schadenbegriffs, dass der Geschädigte dem neuen Schädiger alte Schäden bei der Gelegenheit des neuen Schadenereignisses unterjubeln kann. Dazu heißt es unter </w:t>
      </w:r>
      <w:proofErr w:type="spellStart"/>
      <w:r>
        <w:t>Rz</w:t>
      </w:r>
      <w:proofErr w:type="spellEnd"/>
      <w:r>
        <w:t>. 18: „So haben selbstverständlich Reparaturen bei der Bemessung des erforderlichen Herstellungsaufwandes auszuscheiden, die nur bei Gelegenheit der Instandsetzungsarbeiten mitausgeführt worden sind. Der Geschädigte trägt die Darlegungs- und Beweislast für das Vorhandensein und die Unfallbedingtheit der jeweiligen Fahrzeugschäden und dafür, dass die abgerechneten Instandsetzungsarbeiten Teil der Reparatur dieser Unfallschäden sind. Insoweit kann er sich weder auf das Werkstattrisiko noch auf eine sich als unzutreffend erweisende Einschätzung des von ihm eingeschalteten Privatgutachters berufen.“</w:t>
      </w:r>
    </w:p>
    <w:p w14:paraId="052C9139" w14:textId="77777777" w:rsidR="00A466D9" w:rsidRDefault="00A466D9" w:rsidP="00A466D9">
      <w:pPr>
        <w:pStyle w:val="A-Grundtext"/>
      </w:pPr>
    </w:p>
    <w:p w14:paraId="19CBEDE2" w14:textId="3E598748" w:rsidR="00A466D9" w:rsidRDefault="00A466D9" w:rsidP="00A466D9">
      <w:pPr>
        <w:pStyle w:val="A-Grundtext"/>
      </w:pPr>
      <w:r>
        <w:t xml:space="preserve">Im vorliegenden Fall ist doch gar nicht umstritten, dass ein Anstoß gegen </w:t>
      </w:r>
      <w:r>
        <w:t>…</w:t>
      </w:r>
      <w:r>
        <w:t xml:space="preserve"> stattgefunden hat. Ebenso wenig war umstritten, dass </w:t>
      </w:r>
      <w:r>
        <w:t>…</w:t>
      </w:r>
      <w:r>
        <w:t xml:space="preserve"> beschädigt ist. Für einen ohnehin allenfalls ins Blaue hinein behaupteten Vorschaden in dem Sinne, dass die unstreitige Beschädigung nicht durch diesen, sondern durch einen früheren Anstoß verstellt war, liegen keinerlei Anhaltspunkte vor. </w:t>
      </w:r>
    </w:p>
    <w:p w14:paraId="3F71B717" w14:textId="77777777" w:rsidR="00A466D9" w:rsidRDefault="00A466D9" w:rsidP="00A466D9">
      <w:pPr>
        <w:pStyle w:val="A-Grundtext"/>
      </w:pPr>
    </w:p>
    <w:p w14:paraId="0889CBD8" w14:textId="666E85C9" w:rsidR="00A466D9" w:rsidRDefault="00A466D9" w:rsidP="00A466D9">
      <w:pPr>
        <w:pStyle w:val="A-Grundtext"/>
      </w:pPr>
      <w:r>
        <w:t xml:space="preserve">Der Streit geht doch nur um die Frage, ob Reparaturmaßnahme </w:t>
      </w:r>
      <w:r>
        <w:t>…</w:t>
      </w:r>
      <w:r>
        <w:t xml:space="preserve"> eine angemessene oder eine übertriebene Maßnahme war. Also unterfällt das der oben zitierten </w:t>
      </w:r>
      <w:proofErr w:type="spellStart"/>
      <w:r>
        <w:t>Rz</w:t>
      </w:r>
      <w:proofErr w:type="spellEnd"/>
      <w:r>
        <w:t>. 14 der BGH-Entscheidung im Sinne von „…</w:t>
      </w:r>
      <w:r>
        <w:t xml:space="preserve"> </w:t>
      </w:r>
      <w:r>
        <w:t>unsachgemäßer oder unwirtschaftlicher Arbeitsweise</w:t>
      </w:r>
      <w:r>
        <w:t xml:space="preserve"> </w:t>
      </w:r>
      <w:r>
        <w:t>…“ und damit dem vom Schädiger im Verhältnis zum Geschädigten zu tragenden Werkstattrisiko.</w:t>
      </w:r>
    </w:p>
    <w:p w14:paraId="295DD2D2" w14:textId="77777777" w:rsidR="00A466D9" w:rsidRDefault="00A466D9" w:rsidP="00A466D9">
      <w:pPr>
        <w:pStyle w:val="A-Grundtext"/>
      </w:pPr>
    </w:p>
    <w:p w14:paraId="0F6D825B" w14:textId="1696B359" w:rsidR="00A466D9" w:rsidRDefault="00A466D9" w:rsidP="00A466D9">
      <w:pPr>
        <w:pStyle w:val="A-Grundtext"/>
      </w:pPr>
      <w:r>
        <w:t xml:space="preserve">Der Geschädigte konnte auch nicht erkennen, dass das ggf. eine übertriebene Reparaturmaßnahme war, sodass wegen Laienerkennbarkeit die Anwendung des Werkstattrisikos dennoch entfiele. Denn wenn der Schadengutachter und die Werkstatt das für richtig halten und Ihr Haus und/oder eine Gutachtenüberprüfungsfirma eine abweichende Meinung vertreten, kann der Geschädigte nicht entscheiden, was richtig gewesen wäre. Welche der Einschätzungen objektiv richtig ist, ist also für Ersatzfähigkeit der Kosten der </w:t>
      </w:r>
      <w:r>
        <w:t>…</w:t>
      </w:r>
      <w:r>
        <w:t xml:space="preserve"> nicht entscheidend. (LG Stendal, Urteil vom 28.07.2025, Az. 23 O 355/23</w:t>
      </w:r>
      <w:r>
        <w:t xml:space="preserve">, IWW-Abruf-Nr. </w:t>
      </w:r>
      <w:hyperlink r:id="rId8" w:tgtFrame="_blank" w:history="1">
        <w:r w:rsidRPr="00A466D9">
          <w:rPr>
            <w:rStyle w:val="Hyperlink"/>
            <w:rFonts w:cs="Arial"/>
          </w:rPr>
          <w:t>250286</w:t>
        </w:r>
      </w:hyperlink>
      <w:r>
        <w:t>).</w:t>
      </w:r>
    </w:p>
    <w:p w14:paraId="772E9C25" w14:textId="77777777" w:rsidR="00A466D9" w:rsidRDefault="00A466D9" w:rsidP="00A466D9">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9"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10"/>
      <w:footerReference w:type="default" r:id="rId11"/>
      <w:headerReference w:type="first" r:id="rId12"/>
      <w:footerReference w:type="first" r:id="rId13"/>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99BE" w14:textId="77777777" w:rsidR="00D577CD" w:rsidRDefault="00D577CD" w:rsidP="00B2150E">
      <w:pPr>
        <w:spacing w:after="0" w:line="240" w:lineRule="auto"/>
      </w:pPr>
      <w:r>
        <w:separator/>
      </w:r>
    </w:p>
  </w:endnote>
  <w:endnote w:type="continuationSeparator" w:id="0">
    <w:p w14:paraId="6FBCDD86" w14:textId="77777777" w:rsidR="00D577CD" w:rsidRDefault="00D577CD"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Offc Pro">
    <w:panose1 w:val="020B0504020101020102"/>
    <w:charset w:val="00"/>
    <w:family w:val="swiss"/>
    <w:pitch w:val="variable"/>
    <w:sig w:usb0="A00002BF"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060234D4"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A466D9">
      <w:rPr>
        <w:rFonts w:ascii="Arial" w:hAnsi="Arial" w:cs="Arial"/>
        <w:sz w:val="16"/>
        <w:szCs w:val="16"/>
      </w:rPr>
      <w:t>50564244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D6A8" w14:textId="77777777" w:rsidR="00D577CD" w:rsidRDefault="00D577CD" w:rsidP="00B2150E">
      <w:pPr>
        <w:spacing w:after="0" w:line="240" w:lineRule="auto"/>
      </w:pPr>
      <w:r>
        <w:separator/>
      </w:r>
    </w:p>
  </w:footnote>
  <w:footnote w:type="continuationSeparator" w:id="0">
    <w:p w14:paraId="01E9E7E5" w14:textId="77777777" w:rsidR="00D577CD" w:rsidRDefault="00D577CD"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06007"/>
    <w:multiLevelType w:val="hybridMultilevel"/>
    <w:tmpl w:val="23ACB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DD170A"/>
    <w:multiLevelType w:val="hybridMultilevel"/>
    <w:tmpl w:val="03CAA53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1"/>
  </w:num>
  <w:num w:numId="2" w16cid:durableId="1384675516">
    <w:abstractNumId w:val="4"/>
  </w:num>
  <w:num w:numId="3" w16cid:durableId="100881069">
    <w:abstractNumId w:val="3"/>
  </w:num>
  <w:num w:numId="4" w16cid:durableId="1878468095">
    <w:abstractNumId w:val="2"/>
  </w:num>
  <w:num w:numId="5" w16cid:durableId="104452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466D9"/>
    <w:rsid w:val="00AC24B7"/>
    <w:rsid w:val="00AD68A2"/>
    <w:rsid w:val="00AE07BD"/>
    <w:rsid w:val="00AF49EB"/>
    <w:rsid w:val="00B06839"/>
    <w:rsid w:val="00B1645A"/>
    <w:rsid w:val="00B2150E"/>
    <w:rsid w:val="00B55676"/>
    <w:rsid w:val="00B9664D"/>
    <w:rsid w:val="00BC1A18"/>
    <w:rsid w:val="00C852F3"/>
    <w:rsid w:val="00CF57DB"/>
    <w:rsid w:val="00D45578"/>
    <w:rsid w:val="00D577CD"/>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4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w.de/quellenmaterial/id/2502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ww.de/quellenmaterial/id/23919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ontakt@iww.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10</cp:revision>
  <cp:lastPrinted>2023-12-04T11:30:00Z</cp:lastPrinted>
  <dcterms:created xsi:type="dcterms:W3CDTF">2022-08-04T11:26:00Z</dcterms:created>
  <dcterms:modified xsi:type="dcterms:W3CDTF">2025-09-22T11:15:00Z</dcterms:modified>
</cp:coreProperties>
</file>