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34B71F5C"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737FEB">
        <w:rPr>
          <w:rFonts w:cs="Arial"/>
        </w:rPr>
        <w:t>VA Verkehrsrecht aktuell</w:t>
      </w:r>
      <w:r w:rsidR="00901837" w:rsidRPr="00A033C2">
        <w:rPr>
          <w:rFonts w:cs="Arial"/>
        </w:rPr>
        <w:t xml:space="preserve"> </w:t>
      </w:r>
      <w:r w:rsidR="00737FEB">
        <w:rPr>
          <w:rFonts w:cs="Arial"/>
        </w:rPr>
        <w:t>12</w:t>
      </w:r>
      <w:r w:rsidR="00901837" w:rsidRPr="00A033C2">
        <w:rPr>
          <w:rFonts w:cs="Arial"/>
        </w:rPr>
        <w:t>/20</w:t>
      </w:r>
      <w:r w:rsidR="00737FEB">
        <w:rPr>
          <w:rFonts w:cs="Arial"/>
        </w:rPr>
        <w:t>25</w:t>
      </w:r>
      <w:r w:rsidR="00901837" w:rsidRPr="00A033C2">
        <w:rPr>
          <w:rFonts w:cs="Arial"/>
        </w:rPr>
        <w:t xml:space="preserve">, S. </w:t>
      </w:r>
      <w:r w:rsidR="00BB3C7C">
        <w:rPr>
          <w:rFonts w:cs="Arial"/>
        </w:rPr>
        <w:t>206</w:t>
      </w:r>
    </w:p>
    <w:p w14:paraId="0511E929" w14:textId="228BFB9B" w:rsidR="00901837" w:rsidRPr="00A033C2" w:rsidRDefault="00737FEB" w:rsidP="00A033C2">
      <w:pPr>
        <w:pStyle w:val="A-berschriftgro"/>
        <w:rPr>
          <w:rFonts w:ascii="Arial" w:hAnsi="Arial" w:cs="Arial"/>
        </w:rPr>
      </w:pPr>
      <w:r>
        <w:rPr>
          <w:rFonts w:ascii="Arial" w:hAnsi="Arial" w:cs="Arial"/>
        </w:rPr>
        <w:br/>
      </w:r>
      <w:r w:rsidRPr="00737FEB">
        <w:rPr>
          <w:rFonts w:ascii="Arial" w:hAnsi="Arial" w:cs="Arial"/>
        </w:rPr>
        <w:t>Regress und die unwirksame formularmäßige Vorteilsausgleichsabtretung der HUK</w:t>
      </w:r>
    </w:p>
    <w:p w14:paraId="1B2A77AE" w14:textId="77777777" w:rsidR="00901837" w:rsidRDefault="00901837" w:rsidP="00901837">
      <w:pPr>
        <w:pStyle w:val="A-Grundtext"/>
      </w:pPr>
    </w:p>
    <w:p w14:paraId="4F26DC89" w14:textId="5BE500CC" w:rsidR="00737FEB" w:rsidRPr="00737FEB" w:rsidRDefault="00737FEB" w:rsidP="00737FEB">
      <w:pPr>
        <w:pStyle w:val="A-Grundtext"/>
      </w:pPr>
      <w:r w:rsidRPr="00737FEB">
        <w:t xml:space="preserve">Wie schon zuvor das AG Kulmbach hat nun auch das AG Bielefeld entschieden: Die von der HUK vorformulierte Abtretung mit der Formulierung „… etwaige (das Werkstattrisiko betreffende) Ersatzansprüche gegenüber dem Reparaturbetrieb hinsichtlich einer im Sinne des § 249 Abs. 2 Satz 1 BGB nicht erforderlichen Überhöhung der Reparaturrechnung“, ist unwirksam (AG Bielefeld 3.11.25, 400 C 185/25, Abruf-Nr. </w:t>
      </w:r>
      <w:r w:rsidR="00BB3C7C">
        <w:t>251074</w:t>
      </w:r>
      <w:r w:rsidRPr="00737FEB">
        <w:t>, eingesandt von RA Frank Rupprecht, Bielefeld; AG Kulmbach 19.9.25, 70 C 359/24, Abruf-Nr. 250289, eingesandt von RAin Birgit Schipper, Kulmbach).</w:t>
      </w:r>
    </w:p>
    <w:p w14:paraId="20E74DC3" w14:textId="77777777" w:rsidR="00737FEB" w:rsidRPr="00737FEB" w:rsidRDefault="00737FEB" w:rsidP="00737FEB">
      <w:pPr>
        <w:pStyle w:val="A-Grundtext"/>
      </w:pPr>
    </w:p>
    <w:p w14:paraId="22C07013" w14:textId="53E84D48" w:rsidR="00737FEB" w:rsidRDefault="00737FEB" w:rsidP="00737FEB">
      <w:pPr>
        <w:pStyle w:val="A-Grundtext"/>
      </w:pPr>
      <w:r w:rsidRPr="00737FEB">
        <w:t xml:space="preserve">Nach Auffassung von VA ist auch die spätere Version der von der HUK vorgelegten Vorteilsausgleichsabtretung unwirksam. Für beide Versionen finden Sie </w:t>
      </w:r>
      <w:r>
        <w:t>hier</w:t>
      </w:r>
      <w:r w:rsidRPr="00737FEB">
        <w:t xml:space="preserve"> einen Baustein für die Klageerwiderung</w:t>
      </w:r>
      <w:r>
        <w:t>.</w:t>
      </w:r>
    </w:p>
    <w:p w14:paraId="4B554781" w14:textId="77777777" w:rsidR="00737FEB" w:rsidRDefault="00737FEB" w:rsidP="00737FEB">
      <w:pPr>
        <w:pStyle w:val="A-Grundtext"/>
      </w:pPr>
    </w:p>
    <w:p w14:paraId="531488A7" w14:textId="77777777" w:rsidR="00737FEB" w:rsidRDefault="00737FEB" w:rsidP="00737FEB">
      <w:pPr>
        <w:pStyle w:val="A-Grundtext"/>
      </w:pPr>
    </w:p>
    <w:p w14:paraId="45386B09" w14:textId="77777777" w:rsidR="00A542DD" w:rsidRDefault="00A542DD" w:rsidP="00737FEB">
      <w:pPr>
        <w:pStyle w:val="A-Grundtext"/>
      </w:pPr>
    </w:p>
    <w:p w14:paraId="7D7B61B0" w14:textId="77777777" w:rsidR="00A542DD" w:rsidRPr="00A033C2" w:rsidRDefault="00A542DD" w:rsidP="00A542DD">
      <w:pPr>
        <w:pStyle w:val="A-Grundtext"/>
      </w:pPr>
    </w:p>
    <w:p w14:paraId="015FA5FC" w14:textId="77777777" w:rsidR="00A542DD" w:rsidRPr="00A033C2" w:rsidRDefault="00A542DD" w:rsidP="00A542DD">
      <w:pPr>
        <w:pStyle w:val="A-Grundtext"/>
      </w:pPr>
    </w:p>
    <w:p w14:paraId="4D6F7090" w14:textId="77777777" w:rsidR="00A542DD" w:rsidRPr="00A033C2" w:rsidRDefault="00A542DD" w:rsidP="00A542DD">
      <w:pPr>
        <w:pStyle w:val="A-berschriftklein"/>
        <w:rPr>
          <w:caps/>
        </w:rPr>
      </w:pPr>
      <w:r w:rsidRPr="00A033C2">
        <w:rPr>
          <w:caps/>
        </w:rPr>
        <w:t>Musterformulierung</w:t>
      </w:r>
    </w:p>
    <w:p w14:paraId="61D9D98A" w14:textId="77777777" w:rsidR="00A542DD" w:rsidRDefault="00A542DD" w:rsidP="00737FEB">
      <w:pPr>
        <w:pStyle w:val="A-Grundtext"/>
      </w:pPr>
    </w:p>
    <w:p w14:paraId="2E4D9900" w14:textId="77777777" w:rsidR="00737FEB" w:rsidRDefault="00737FEB" w:rsidP="00901837">
      <w:pPr>
        <w:pStyle w:val="A-Grundtext"/>
      </w:pPr>
    </w:p>
    <w:p w14:paraId="78EBF0C6" w14:textId="77777777" w:rsidR="00737FEB" w:rsidRPr="00737FEB" w:rsidRDefault="00737FEB" w:rsidP="00737FEB">
      <w:pPr>
        <w:pStyle w:val="A-Grundtext"/>
        <w:rPr>
          <w:b/>
          <w:bCs/>
          <w:sz w:val="32"/>
          <w:szCs w:val="32"/>
        </w:rPr>
      </w:pPr>
      <w:r w:rsidRPr="00737FEB">
        <w:rPr>
          <w:b/>
          <w:bCs/>
          <w:sz w:val="32"/>
          <w:szCs w:val="32"/>
        </w:rPr>
        <w:t>Die alte von der HUK verwendete Vorteilsausgleichsabtretung ist unwirksam</w:t>
      </w:r>
    </w:p>
    <w:p w14:paraId="0E80CB34" w14:textId="77777777" w:rsidR="00737FEB" w:rsidRPr="00737FEB" w:rsidRDefault="00737FEB" w:rsidP="00737FEB">
      <w:pPr>
        <w:pStyle w:val="A-Grundtext"/>
      </w:pPr>
    </w:p>
    <w:p w14:paraId="7E003353" w14:textId="77777777" w:rsidR="00737FEB" w:rsidRPr="00737FEB" w:rsidRDefault="00737FEB" w:rsidP="00737FEB">
      <w:pPr>
        <w:pStyle w:val="A-Grundtext"/>
      </w:pPr>
      <w:r w:rsidRPr="00737FEB">
        <w:t xml:space="preserve">Die von der Klägerin vorgelegte Vorteilsausgleichsabtretung ist unwirksam. Die Ansprüche, derer sich die Klägerin berühmt, sind damit nicht auf die Klägerin übergegangen. </w:t>
      </w:r>
    </w:p>
    <w:p w14:paraId="68BDE226" w14:textId="77777777" w:rsidR="00737FEB" w:rsidRPr="00737FEB" w:rsidRDefault="00737FEB" w:rsidP="00737FEB">
      <w:pPr>
        <w:pStyle w:val="A-Grundtext"/>
      </w:pPr>
    </w:p>
    <w:p w14:paraId="5799B454" w14:textId="77777777" w:rsidR="00737FEB" w:rsidRPr="00737FEB" w:rsidRDefault="00737FEB" w:rsidP="00737FEB">
      <w:pPr>
        <w:pStyle w:val="A-Grundtext"/>
      </w:pPr>
      <w:r w:rsidRPr="00737FEB">
        <w:t>Die Klägerin ist folglich nicht aktivlegitimiert. So haben es bereits das AG Bielefeld, 3.11.25, 400 C 185/25, sowie das AG Kulmbach, 19.9.25, 70 C 359/24, entschieden.</w:t>
      </w:r>
    </w:p>
    <w:p w14:paraId="3EA7E344" w14:textId="77777777" w:rsidR="00737FEB" w:rsidRPr="00737FEB" w:rsidRDefault="00737FEB" w:rsidP="00737FEB">
      <w:pPr>
        <w:pStyle w:val="A-Grundtext"/>
      </w:pPr>
    </w:p>
    <w:p w14:paraId="49C67EFF" w14:textId="77777777" w:rsidR="00737FEB" w:rsidRPr="00737FEB" w:rsidRDefault="00737FEB" w:rsidP="00737FEB">
      <w:pPr>
        <w:pStyle w:val="A-Grundtext"/>
      </w:pPr>
      <w:r w:rsidRPr="00737FEB">
        <w:t>Die Klägerin hat sich abtreten lassen</w:t>
      </w:r>
    </w:p>
    <w:p w14:paraId="5F02C790" w14:textId="77777777" w:rsidR="00737FEB" w:rsidRPr="00737FEB" w:rsidRDefault="00737FEB" w:rsidP="00737FEB">
      <w:pPr>
        <w:pStyle w:val="A-Grundtext"/>
      </w:pPr>
    </w:p>
    <w:p w14:paraId="08AED1BB" w14:textId="572C847D" w:rsidR="00737FEB" w:rsidRPr="00737FEB" w:rsidRDefault="00737FEB" w:rsidP="00737FEB">
      <w:pPr>
        <w:pStyle w:val="A-Grundtext"/>
      </w:pPr>
      <w:r w:rsidRPr="00737FEB">
        <w:t>„…</w:t>
      </w:r>
      <w:r>
        <w:t xml:space="preserve"> </w:t>
      </w:r>
      <w:r w:rsidRPr="00737FEB">
        <w:t>etwaige (das Werkstattrisiko betreffende) Ersatzansprüche gegenüber dem Reparaturbetrieb hinsichtlich einer im Sinne des § 249 Abs. 2 Satz 1 BGB nicht erforderlichen Überhöhung der Reparaturrechnung“.</w:t>
      </w:r>
    </w:p>
    <w:p w14:paraId="35B0B46C" w14:textId="77777777" w:rsidR="00737FEB" w:rsidRPr="00737FEB" w:rsidRDefault="00737FEB" w:rsidP="00737FEB">
      <w:pPr>
        <w:pStyle w:val="A-Grundtext"/>
      </w:pPr>
    </w:p>
    <w:p w14:paraId="570663A2" w14:textId="77777777" w:rsidR="00737FEB" w:rsidRPr="00737FEB" w:rsidRDefault="00737FEB" w:rsidP="00737FEB">
      <w:pPr>
        <w:pStyle w:val="A-Grundtext"/>
      </w:pPr>
      <w:r w:rsidRPr="00737FEB">
        <w:t>Diese Formulierung trägt zwei Unklarheiten in sich, sodass nicht ermittelt werden kann, welcher Anspruch abgetreten sein soll.</w:t>
      </w:r>
    </w:p>
    <w:p w14:paraId="2B2913DF" w14:textId="77777777" w:rsidR="00737FEB" w:rsidRPr="00737FEB" w:rsidRDefault="00737FEB" w:rsidP="00737FEB">
      <w:pPr>
        <w:pStyle w:val="A-Grundtext"/>
      </w:pPr>
    </w:p>
    <w:p w14:paraId="61EC1991" w14:textId="61E39B9B" w:rsidR="00737FEB" w:rsidRPr="00737FEB" w:rsidRDefault="00737FEB" w:rsidP="00737FEB">
      <w:pPr>
        <w:pStyle w:val="A-Grundtext"/>
      </w:pPr>
      <w:r w:rsidRPr="00737FEB">
        <w:t>Abgetreten sollen sein „…</w:t>
      </w:r>
      <w:r>
        <w:t xml:space="preserve"> </w:t>
      </w:r>
      <w:r w:rsidRPr="00737FEB">
        <w:t>etwaige das Werkstattrisiko betreffende Ersatzansprüche gegenüber dem Reparaturbetrieb“…. Das „Werkstattrisiko“ ist ein Baustein des Schadenersatzrechts als Erleichterung der Darlegungslast des Geschädigten. Es gab also zunächst das Werkstattrisiko betreffende Ersatzansprüche des Zedenten gegen die Klägerin. Eingeklagt werden aber das Werkvertragsverhältnis betreffende Auskunfts- und später ggf. zu beziffernde dem Zedenten zustehende Zahlungsansprüche gegen die Beklagte. Das ist pures „Werkvertragsrecht rückwärts“. Der Zedent hatte zu keiner Zeit „das Werkstattrisiko betreffende Ersatzansprüche gegen die Werkstatt“, konnte also auch keine abtreten.</w:t>
      </w:r>
    </w:p>
    <w:p w14:paraId="399DBB6C" w14:textId="77777777" w:rsidR="00737FEB" w:rsidRPr="00737FEB" w:rsidRDefault="00737FEB" w:rsidP="00737FEB">
      <w:pPr>
        <w:pStyle w:val="A-Grundtext"/>
      </w:pPr>
    </w:p>
    <w:p w14:paraId="732BFFB7" w14:textId="73D56E3C" w:rsidR="00737FEB" w:rsidRPr="00737FEB" w:rsidRDefault="00737FEB" w:rsidP="00737FEB">
      <w:pPr>
        <w:pStyle w:val="A-Grundtext"/>
      </w:pPr>
      <w:r w:rsidRPr="00737FEB">
        <w:t>Und dann soll es um eine „…</w:t>
      </w:r>
      <w:r>
        <w:t xml:space="preserve"> </w:t>
      </w:r>
      <w:r w:rsidRPr="00737FEB">
        <w:t>im Sinne des § 249 Abs. 2 Satz 1 BGB nicht erforderlichen Überhöhung der Reparaturrechnung“ gehen. Die gibt es auch nicht. Denn:</w:t>
      </w:r>
    </w:p>
    <w:p w14:paraId="79FDF561" w14:textId="77777777" w:rsidR="00737FEB" w:rsidRPr="00737FEB" w:rsidRDefault="00737FEB" w:rsidP="00737FEB">
      <w:pPr>
        <w:pStyle w:val="A-Grundtext"/>
      </w:pPr>
    </w:p>
    <w:p w14:paraId="1EBB8BA4" w14:textId="70B4A315" w:rsidR="00737FEB" w:rsidRPr="00737FEB" w:rsidRDefault="00737FEB" w:rsidP="00737FEB">
      <w:pPr>
        <w:pStyle w:val="A-Grundtext"/>
      </w:pPr>
      <w:r w:rsidRPr="00737FEB">
        <w:t xml:space="preserve">Im Lichte des Werkstattrisikos sind die als überhöht geltend gemachten Positionen jedoch </w:t>
      </w:r>
      <w:r>
        <w:t>g</w:t>
      </w:r>
      <w:r w:rsidRPr="00737FEB">
        <w:t>erade</w:t>
      </w:r>
      <w:r>
        <w:t xml:space="preserve"> -</w:t>
      </w:r>
      <w:r w:rsidRPr="00737FEB">
        <w:t xml:space="preserve">selbst wenn man von einer Überhöhung ausginge – für den Geschädigten (Zedenten) erforderlich im Sinne des § 249 Abs. 2 Satz 1 BGB. Weil sie im schadenrechtlichen Sinne „erforderlich“ waren (den Bezug zur schadenrechtlichen Vorschrift des § 249 Abs. 2 Satz 1 BGB stellt die Klägerin mit der Vorlage ihres Formulars selbst her), sind sie von der Vorteilsausgleichsabtretung nicht umfasst. </w:t>
      </w:r>
    </w:p>
    <w:p w14:paraId="1BE8E0BB" w14:textId="77777777" w:rsidR="00737FEB" w:rsidRPr="00737FEB" w:rsidRDefault="00737FEB" w:rsidP="00737FEB">
      <w:pPr>
        <w:pStyle w:val="A-Grundtext"/>
      </w:pPr>
    </w:p>
    <w:p w14:paraId="50022AB8" w14:textId="77777777" w:rsidR="00737FEB" w:rsidRPr="00737FEB" w:rsidRDefault="00737FEB" w:rsidP="00737FEB">
      <w:pPr>
        <w:pStyle w:val="A-Grundtext"/>
      </w:pPr>
      <w:r w:rsidRPr="00737FEB">
        <w:t>Da lässt sich auch nichts umdeuten im Sinne von „Macht doch nichts. Wir wissen doch alle, was gemeint war.“ Es muss aus der Abtretung heraus verständlich werden, welche Ansprüche umfasst sind.</w:t>
      </w:r>
    </w:p>
    <w:p w14:paraId="7E2DA4F0" w14:textId="77777777" w:rsidR="00737FEB" w:rsidRPr="00737FEB" w:rsidRDefault="00737FEB" w:rsidP="00737FEB">
      <w:pPr>
        <w:pStyle w:val="A-Grundtext"/>
      </w:pPr>
    </w:p>
    <w:p w14:paraId="381D920F" w14:textId="4AA1ABAD" w:rsidR="00737FEB" w:rsidRPr="00737FEB" w:rsidRDefault="00737FEB" w:rsidP="00737FEB">
      <w:pPr>
        <w:pStyle w:val="A-Grundtext"/>
      </w:pPr>
      <w:r w:rsidRPr="00737FEB">
        <w:t>Worum es wirklich geht, sind werkvertraglich überhöhte Ansprüche. Der mit dem vom Versicherer zur Verfügung gestellten Geld vom Kunden bezahlte Werklohn soll teilweise zurückgezahlt werden. Mit §</w:t>
      </w:r>
      <w:r>
        <w:t> </w:t>
      </w:r>
      <w:r w:rsidRPr="00737FEB">
        <w:t>249 Abs. 2 Satz 1 BGB hat das überhaupt nichts zu tun.</w:t>
      </w:r>
    </w:p>
    <w:p w14:paraId="6179217D" w14:textId="77777777" w:rsidR="00737FEB" w:rsidRPr="00737FEB" w:rsidRDefault="00737FEB" w:rsidP="00737FEB">
      <w:pPr>
        <w:pStyle w:val="A-Grundtext"/>
      </w:pPr>
    </w:p>
    <w:p w14:paraId="7F06A2A8" w14:textId="5CE15962" w:rsidR="00737FEB" w:rsidRPr="00737FEB" w:rsidRDefault="00737FEB" w:rsidP="00737FEB">
      <w:pPr>
        <w:pStyle w:val="A-Grundtext"/>
      </w:pPr>
      <w:r w:rsidRPr="00737FEB">
        <w:t>Sollte die Klägerin nun auf einen Rettungsanker zurückgreifen wollen, nämlich auf die Konstruktion des „Vertrag mit Schutzwirkung zugunsten Dritter“, wird auch das scheitern</w:t>
      </w:r>
      <w:r>
        <w:t>.</w:t>
      </w:r>
    </w:p>
    <w:p w14:paraId="3C9AF69A" w14:textId="77777777" w:rsidR="00737FEB" w:rsidRPr="00737FEB" w:rsidRDefault="00737FEB" w:rsidP="00737FEB">
      <w:pPr>
        <w:pStyle w:val="A-Grundtext"/>
      </w:pPr>
    </w:p>
    <w:p w14:paraId="1FF33742" w14:textId="6937CC46" w:rsidR="00737FEB" w:rsidRPr="00737FEB" w:rsidRDefault="00737FEB" w:rsidP="00737FEB">
      <w:pPr>
        <w:pStyle w:val="A-Grundtext"/>
      </w:pPr>
      <w:r w:rsidRPr="00737FEB">
        <w:t>Da hilft bereits ein Blick in eine Entscheidung des BGH. In der heißt es dazu, dass aus Sicht des Senats unter Berücksichtigung der von der Rechtsprechung für den Vertrag mit Schutzwirkung für Dritte entwickelten Grundsätze nicht ohne Weiteres davon auszugehen sei, dass der Reparaturvertrag des Geschädigten mit der Werkstatt ein Vertrag mit Schutzwirkung zugunsten des Versicherers ist (BGH 16.1.24, VI ZR 253/22).</w:t>
      </w:r>
    </w:p>
    <w:p w14:paraId="509B9320" w14:textId="77777777" w:rsidR="00737FEB" w:rsidRPr="00737FEB" w:rsidRDefault="00737FEB" w:rsidP="00737FEB">
      <w:pPr>
        <w:pStyle w:val="A-Grundtext"/>
      </w:pPr>
    </w:p>
    <w:p w14:paraId="7B681CA5" w14:textId="7C63DE08" w:rsidR="00737FEB" w:rsidRPr="00737FEB" w:rsidRDefault="00737FEB" w:rsidP="00737FEB">
      <w:pPr>
        <w:pStyle w:val="A-Grundtext"/>
      </w:pPr>
      <w:r w:rsidRPr="00737FEB">
        <w:t>Die BGH-Entscheidung im Hinblick auf den Gutachtervertrag (</w:t>
      </w:r>
      <w:r w:rsidR="00B81810">
        <w:t xml:space="preserve">13.1.09, </w:t>
      </w:r>
      <w:r w:rsidRPr="00737FEB">
        <w:t>VI ZR 205/08</w:t>
      </w:r>
      <w:r w:rsidR="00B81810">
        <w:t>,</w:t>
      </w:r>
      <w:r w:rsidRPr="00737FEB">
        <w:t xml:space="preserve"> R</w:t>
      </w:r>
      <w:r>
        <w:t>n</w:t>
      </w:r>
      <w:r w:rsidRPr="00737FEB">
        <w:t>. 8) ist nämlich mangels zu schließender Schutzlücke nicht auf den Reparaturvertrag zu übertragen.</w:t>
      </w:r>
    </w:p>
    <w:p w14:paraId="641FE6F7" w14:textId="77777777" w:rsidR="00737FEB" w:rsidRPr="00737FEB" w:rsidRDefault="00737FEB" w:rsidP="00737FEB">
      <w:pPr>
        <w:pStyle w:val="A-Grundtext"/>
      </w:pPr>
    </w:p>
    <w:p w14:paraId="36EC89D7" w14:textId="4610A1A1" w:rsidR="00737FEB" w:rsidRPr="00737FEB" w:rsidRDefault="00737FEB" w:rsidP="00737FEB">
      <w:pPr>
        <w:pStyle w:val="A-Grundtext"/>
      </w:pPr>
      <w:r w:rsidRPr="00737FEB">
        <w:t>Beim Reparieren wird der Versicherer im Ergebnis durch die Höhe der Rechnung belastet. Im Gegensatz dazu wird er beim Schadengutachten von dessen Inhalt, also von den Feststellungen des Schadengutachters zum Schadenumfang (siehe BGH 13.1.09</w:t>
      </w:r>
      <w:r>
        <w:t>,</w:t>
      </w:r>
      <w:r w:rsidRPr="00737FEB">
        <w:t xml:space="preserve"> VI ZR 205/08, Rn. 8) und vom vorzusehenden Reparaturweg belastet.</w:t>
      </w:r>
    </w:p>
    <w:p w14:paraId="2B70DD77" w14:textId="77777777" w:rsidR="00737FEB" w:rsidRPr="00737FEB" w:rsidRDefault="00737FEB" w:rsidP="00737FEB">
      <w:pPr>
        <w:pStyle w:val="A-Grundtext"/>
      </w:pPr>
    </w:p>
    <w:p w14:paraId="23ECE856" w14:textId="07157B3A" w:rsidR="00737FEB" w:rsidRPr="00737FEB" w:rsidRDefault="00737FEB" w:rsidP="00737FEB">
      <w:pPr>
        <w:pStyle w:val="A-Grundtext"/>
      </w:pPr>
      <w:r w:rsidRPr="00737FEB">
        <w:t>Der Schadengutachter bekommt vom Geschädigte</w:t>
      </w:r>
      <w:r>
        <w:t>n</w:t>
      </w:r>
      <w:r w:rsidRPr="00737FEB">
        <w:t xml:space="preserve"> zwar Geld für die Erstellung des Gutachtens als solchem. Doch für das „zu viel“ an kalkuliertem Schadenumfang selbst bekommt der Gutachter von seinem Kunden nichts. Also kann der Kunde insoweit (also für die Folge einer unterstellt zu umfangreichen Reparatur) nichts vom Gutachter zurückfordern. Die vom BGH für die anderen Konstellationen vorgesehene Lösung über die Abtretung des Rückforderungsanspruchs an den Versicherer ist folglich verschlossen. Das ist die mit der richterrechtlichen Rechtsfortbildung des Vertrags mit Schutzwirkung zugunsten Dritter zu schließende Schutzlücke.</w:t>
      </w:r>
    </w:p>
    <w:p w14:paraId="5299F75E" w14:textId="77777777" w:rsidR="00737FEB" w:rsidRPr="00737FEB" w:rsidRDefault="00737FEB" w:rsidP="00737FEB">
      <w:pPr>
        <w:pStyle w:val="A-Grundtext"/>
      </w:pPr>
    </w:p>
    <w:p w14:paraId="77B3BFF7" w14:textId="53BAB4E8" w:rsidR="00737FEB" w:rsidRPr="00737FEB" w:rsidRDefault="00737FEB" w:rsidP="00737FEB">
      <w:pPr>
        <w:pStyle w:val="A-Grundtext"/>
      </w:pPr>
      <w:r w:rsidRPr="00737FEB">
        <w:t xml:space="preserve">Eine Zahlung auf eine überhöhte Reparaturrechnung – wenn sie denn vorliegt </w:t>
      </w:r>
      <w:r>
        <w:t>–</w:t>
      </w:r>
      <w:r w:rsidRPr="00737FEB">
        <w:t xml:space="preserve"> kann der Kunde (Zedent) vom Leistungserbringer Werkstatt (Beklagte) jedoch zurückfordern. Diesen Rückforderungsanspruch kann er an den Versicherer (Zessionar) abtreten.</w:t>
      </w:r>
    </w:p>
    <w:p w14:paraId="45D8595F" w14:textId="77777777" w:rsidR="00737FEB" w:rsidRPr="00737FEB" w:rsidRDefault="00737FEB" w:rsidP="00737FEB">
      <w:pPr>
        <w:pStyle w:val="A-Grundtext"/>
      </w:pPr>
    </w:p>
    <w:p w14:paraId="17E9680F" w14:textId="01AAFD09" w:rsidR="00737FEB" w:rsidRPr="00737FEB" w:rsidRDefault="00737FEB" w:rsidP="00737FEB">
      <w:pPr>
        <w:pStyle w:val="A-Grundtext"/>
      </w:pPr>
      <w:r w:rsidRPr="00737FEB">
        <w:t>Das ist der alles entscheidende Unterschied, und deswegen liegt seit der wegweisenden Entscheidung des BGH vom 29.10.74, VI ZR 42/73, zitiert in NJW 1975, S. 160 ff keine Schutzlücke vor, die mit der richterrechtlichen Erfindung des Vertrags mit Schutzwirkung Dritter zu schließen sei.</w:t>
      </w:r>
    </w:p>
    <w:p w14:paraId="7049B30E" w14:textId="77777777" w:rsidR="00737FEB" w:rsidRPr="00737FEB" w:rsidRDefault="00737FEB" w:rsidP="00737FEB">
      <w:pPr>
        <w:pStyle w:val="A-Grundtext"/>
      </w:pPr>
    </w:p>
    <w:p w14:paraId="56671559" w14:textId="17B9E74A" w:rsidR="00737FEB" w:rsidRPr="00737FEB" w:rsidRDefault="00737FEB" w:rsidP="00737FEB">
      <w:pPr>
        <w:pStyle w:val="A-Grundtext"/>
      </w:pPr>
      <w:r w:rsidRPr="00737FEB">
        <w:t>Die Anwendung des „Vertrags mit Schutzwirkung zugunsten Dritter“ setzt aber eine Schutzlücke voraus.</w:t>
      </w:r>
    </w:p>
    <w:p w14:paraId="4BAADB83" w14:textId="77777777" w:rsidR="00737FEB" w:rsidRPr="00737FEB" w:rsidRDefault="00737FEB" w:rsidP="00737FEB">
      <w:pPr>
        <w:pStyle w:val="A-Grundtext"/>
      </w:pPr>
    </w:p>
    <w:p w14:paraId="74B404CE" w14:textId="0C555009" w:rsidR="00737FEB" w:rsidRPr="00737FEB" w:rsidRDefault="00737FEB" w:rsidP="00737FEB">
      <w:pPr>
        <w:pStyle w:val="A-Grundtext"/>
      </w:pPr>
      <w:r w:rsidRPr="00737FEB">
        <w:t>Mit sehr guten Ausführungen zu dem Unterschied zwischen der Situation „Gutachtenvertrag“ und der Situation „Reparaturvertrag“ lehnt auch das LG Berlin die Übertragung der Rechtsprechung zum Vertrag mit Schutzwirkung zugunsten Dritter auf den Werkstattvertrag ab und bestätigt damit das vorhergehende Urteil des AG Schöneberg (LG Berlin, Beschluss vom 29.4.19</w:t>
      </w:r>
      <w:r>
        <w:t>,</w:t>
      </w:r>
      <w:r w:rsidRPr="00737FEB">
        <w:t xml:space="preserve"> 11 S 7/18, IWW-Abruf-Nr. 209307).</w:t>
      </w:r>
    </w:p>
    <w:p w14:paraId="39295955" w14:textId="77777777" w:rsidR="00737FEB" w:rsidRPr="00737FEB" w:rsidRDefault="00737FEB" w:rsidP="00737FEB">
      <w:pPr>
        <w:pStyle w:val="A-Grundtext"/>
      </w:pPr>
    </w:p>
    <w:p w14:paraId="0254ED85" w14:textId="77777777" w:rsidR="00737FEB" w:rsidRPr="00737FEB" w:rsidRDefault="00737FEB" w:rsidP="00737FEB">
      <w:pPr>
        <w:pStyle w:val="A-Grundtext"/>
      </w:pPr>
      <w:r w:rsidRPr="00737FEB">
        <w:t>Viele andere Urteile in diesem Sinne können vorgelegt werden.</w:t>
      </w:r>
    </w:p>
    <w:p w14:paraId="0F28C06A" w14:textId="77777777" w:rsidR="00737FEB" w:rsidRPr="00737FEB" w:rsidRDefault="00737FEB" w:rsidP="00737FEB">
      <w:pPr>
        <w:pStyle w:val="A-Grundtext"/>
      </w:pPr>
    </w:p>
    <w:p w14:paraId="296A65B9" w14:textId="77777777" w:rsidR="00737FEB" w:rsidRPr="00737FEB" w:rsidRDefault="00737FEB" w:rsidP="00737FEB">
      <w:pPr>
        <w:pStyle w:val="A-Grundtext"/>
      </w:pPr>
      <w:r w:rsidRPr="00737FEB">
        <w:t>Nachdem es bereits an der Aktivlegitimation der Klägerin fehlt, kommt es auf die nachfolgenden inhaltlichen Fragen nur noch hilfsweise an.</w:t>
      </w:r>
    </w:p>
    <w:p w14:paraId="71CD3210" w14:textId="77777777" w:rsidR="00737FEB" w:rsidRDefault="00737FEB" w:rsidP="00737FEB">
      <w:pPr>
        <w:pStyle w:val="A-Grundtext"/>
      </w:pPr>
    </w:p>
    <w:p w14:paraId="28BD33A2" w14:textId="77777777" w:rsidR="00B81810" w:rsidRDefault="00B81810" w:rsidP="00737FEB">
      <w:pPr>
        <w:pStyle w:val="A-Grundtext"/>
      </w:pPr>
    </w:p>
    <w:p w14:paraId="2F39A9C6" w14:textId="77777777" w:rsidR="00B81810" w:rsidRDefault="00B81810" w:rsidP="00737FEB">
      <w:pPr>
        <w:pStyle w:val="A-Grundtext"/>
      </w:pPr>
    </w:p>
    <w:p w14:paraId="01E78CF9" w14:textId="77777777" w:rsidR="00B81810" w:rsidRPr="00737FEB" w:rsidRDefault="00B81810" w:rsidP="00737FEB">
      <w:pPr>
        <w:pStyle w:val="A-Grundtext"/>
      </w:pPr>
    </w:p>
    <w:p w14:paraId="68067111" w14:textId="77777777" w:rsidR="00737FEB" w:rsidRPr="00737FEB" w:rsidRDefault="00737FEB" w:rsidP="00737FEB">
      <w:pPr>
        <w:pStyle w:val="A-Grundtext"/>
      </w:pPr>
    </w:p>
    <w:p w14:paraId="5A2C90AF" w14:textId="77777777" w:rsidR="00737FEB" w:rsidRPr="00737FEB" w:rsidRDefault="00737FEB" w:rsidP="00737FEB">
      <w:pPr>
        <w:pStyle w:val="A-Grundtext"/>
        <w:rPr>
          <w:b/>
          <w:bCs/>
          <w:sz w:val="32"/>
          <w:szCs w:val="32"/>
        </w:rPr>
      </w:pPr>
      <w:r w:rsidRPr="00737FEB">
        <w:rPr>
          <w:b/>
          <w:bCs/>
          <w:sz w:val="32"/>
          <w:szCs w:val="32"/>
        </w:rPr>
        <w:t>Die neue von der HUK verwendete Vorteilsausgleichsabtretung ist unwirksam</w:t>
      </w:r>
    </w:p>
    <w:p w14:paraId="7AB77EE9" w14:textId="77777777" w:rsidR="00737FEB" w:rsidRPr="00737FEB" w:rsidRDefault="00737FEB" w:rsidP="00737FEB">
      <w:pPr>
        <w:pStyle w:val="A-Grundtext"/>
        <w:rPr>
          <w:b/>
          <w:bCs/>
          <w:sz w:val="32"/>
          <w:szCs w:val="32"/>
        </w:rPr>
      </w:pPr>
    </w:p>
    <w:p w14:paraId="6C8C9BB7" w14:textId="77777777" w:rsidR="00737FEB" w:rsidRPr="00737FEB" w:rsidRDefault="00737FEB" w:rsidP="00737FEB">
      <w:pPr>
        <w:pStyle w:val="A-Grundtext"/>
      </w:pPr>
      <w:r w:rsidRPr="00737FEB">
        <w:t xml:space="preserve">Abgetreten sollen sein „etwaige das Werkstattrisiko betreffende Ersatzansprüche gegenüber dem Reparaturbetrieb“. Das „Werkstattrisiko“ ist ein Baustein des Schadenersatzrechts als Erleichterung der Darlegungslast des Geschädigten. Es gab also zunächst das Werkstattrisiko betreffende Ersatzansprüche des Zedenten gegen die Klägerin. Eingeklagt werden aber das Werkvertragsverhältnis betreffende Auskunfts- und später ggf. zu beziffernde dem Zedenten zustehende Zahlungsansprüche gegen die Beklagte. Das ist pures „Werkvertragsrecht rückwärts“. Der Zedent hatte zu keiner Zeit „das Werkstattrisiko betreffende Ersatzansprüche gegen die Werkstatt“, konnte also auch keine abtreten. </w:t>
      </w:r>
    </w:p>
    <w:p w14:paraId="693EAB0C" w14:textId="77777777" w:rsidR="00737FEB" w:rsidRPr="00737FEB" w:rsidRDefault="00737FEB" w:rsidP="00737FEB">
      <w:pPr>
        <w:pStyle w:val="A-Grundtext"/>
      </w:pPr>
    </w:p>
    <w:p w14:paraId="2434D709" w14:textId="3EFF0001" w:rsidR="00737FEB" w:rsidRPr="00737FEB" w:rsidRDefault="00737FEB" w:rsidP="00737FEB">
      <w:pPr>
        <w:pStyle w:val="A-Grundtext"/>
      </w:pPr>
      <w:r w:rsidRPr="00737FEB">
        <w:t>Insoweit verweisen wir auch auf das zu einer früheren Version der von der HUK formularmäßig verwendeten Vorteilsausgleichsabtretung ergangene Urteil des AG Kulmbach</w:t>
      </w:r>
      <w:r w:rsidR="00B81810">
        <w:t xml:space="preserve"> vom</w:t>
      </w:r>
      <w:r w:rsidRPr="00737FEB">
        <w:t xml:space="preserve"> 19.9.25, 70 C 359/24 sowie auf AG Bielefeld 3.11.25, 400 C 185/25.</w:t>
      </w:r>
    </w:p>
    <w:p w14:paraId="1A2A286C" w14:textId="77777777" w:rsidR="00737FEB" w:rsidRPr="00737FEB" w:rsidRDefault="00737FEB" w:rsidP="00737FEB">
      <w:pPr>
        <w:pStyle w:val="A-Grundtext"/>
      </w:pPr>
    </w:p>
    <w:p w14:paraId="5E5D7AE5" w14:textId="77777777" w:rsidR="00737FEB" w:rsidRPr="00737FEB" w:rsidRDefault="00737FEB" w:rsidP="00737FEB">
      <w:pPr>
        <w:pStyle w:val="A-Grundtext"/>
      </w:pPr>
      <w:r w:rsidRPr="00737FEB">
        <w:t xml:space="preserve">Dem Urteil des AG Kulmbach kann ebenfalls entnommen werden, warum der Reparaturvertrag der Werkstatt mit dem Zedenten kein Vertrag mit Schutzwirkung zugunsten Dritter ist. </w:t>
      </w:r>
    </w:p>
    <w:p w14:paraId="43407DDB" w14:textId="77777777" w:rsidR="00737FEB" w:rsidRPr="00737FEB" w:rsidRDefault="00737FEB" w:rsidP="00737FEB">
      <w:pPr>
        <w:pStyle w:val="A-Grundtext"/>
      </w:pPr>
    </w:p>
    <w:p w14:paraId="1C290C28" w14:textId="1EE446E3" w:rsidR="00737FEB" w:rsidRPr="00737FEB" w:rsidRDefault="00737FEB" w:rsidP="00737FEB">
      <w:pPr>
        <w:pStyle w:val="A-Grundtext"/>
      </w:pPr>
      <w:r w:rsidRPr="00737FEB">
        <w:t>Da hilft ergänzend bereits ein Blick in eine Entscheidung des BGH. In der heißt es dazu, dass aus Sicht des Senats unter Berücksichtigung der von der Rechtsprechung für den Vertrag mit Schutzwirkung für Dritte entwickelten Grundsätze nicht ohne Weiteres davon auszugehen sei, dass der Reparaturvertrag des Geschädigten mit der Werkstatt ein Vertrag mit Schutzwirkung zugunsten des Versicherers ist (BGH 16.1.24, VI ZR 253/22).</w:t>
      </w:r>
    </w:p>
    <w:p w14:paraId="6DC42CF3" w14:textId="77777777" w:rsidR="00737FEB" w:rsidRPr="00737FEB" w:rsidRDefault="00737FEB" w:rsidP="00737FEB">
      <w:pPr>
        <w:pStyle w:val="A-Grundtext"/>
      </w:pPr>
    </w:p>
    <w:p w14:paraId="19FD5EFD" w14:textId="3D3A3608" w:rsidR="00737FEB" w:rsidRPr="00737FEB" w:rsidRDefault="00737FEB" w:rsidP="00737FEB">
      <w:pPr>
        <w:pStyle w:val="A-Grundtext"/>
      </w:pPr>
      <w:r w:rsidRPr="00737FEB">
        <w:t>Die BGH-Entscheidung im Hinblick auf den Gutachtervertrag (</w:t>
      </w:r>
      <w:r w:rsidR="00B81810">
        <w:t xml:space="preserve">13.1.09, </w:t>
      </w:r>
      <w:r w:rsidRPr="00737FEB">
        <w:t>VI ZR 205/08</w:t>
      </w:r>
      <w:r w:rsidR="00B81810">
        <w:t>,</w:t>
      </w:r>
      <w:r w:rsidRPr="00737FEB">
        <w:t xml:space="preserve"> R</w:t>
      </w:r>
      <w:r w:rsidR="00B81810">
        <w:t>n</w:t>
      </w:r>
      <w:r w:rsidRPr="00737FEB">
        <w:t>. 8) ist nämlich mangels zu schließender Schutzlücke nicht auf den Reparaturvertrag zu übertragen.</w:t>
      </w:r>
    </w:p>
    <w:p w14:paraId="2831DB5D" w14:textId="77777777" w:rsidR="00737FEB" w:rsidRPr="00737FEB" w:rsidRDefault="00737FEB" w:rsidP="00737FEB">
      <w:pPr>
        <w:pStyle w:val="A-Grundtext"/>
      </w:pPr>
    </w:p>
    <w:p w14:paraId="1BB95541" w14:textId="08ACA66C" w:rsidR="00737FEB" w:rsidRPr="00737FEB" w:rsidRDefault="00737FEB" w:rsidP="00737FEB">
      <w:pPr>
        <w:pStyle w:val="A-Grundtext"/>
      </w:pPr>
      <w:r w:rsidRPr="00737FEB">
        <w:t>Beim Reparieren wird der Versicherer im Ergebnis durch die Höhe der Rechnung belastet. Im Gegensatz dazu wird er beim Schadengutachten von dessen Inhalt, also von den Feststellungen des Schadengutachters zum Schadenumfang (siehe BGH 13.1.09</w:t>
      </w:r>
      <w:r w:rsidR="00B81810">
        <w:t>,</w:t>
      </w:r>
      <w:r w:rsidRPr="00737FEB">
        <w:t xml:space="preserve"> VI ZR 205/08, R</w:t>
      </w:r>
      <w:r w:rsidR="00B81810">
        <w:t>n</w:t>
      </w:r>
      <w:r w:rsidRPr="00737FEB">
        <w:t>. 8) und vom vorzusehenden Reparaturweg belastet.</w:t>
      </w:r>
    </w:p>
    <w:p w14:paraId="3008699E" w14:textId="77777777" w:rsidR="00737FEB" w:rsidRPr="00737FEB" w:rsidRDefault="00737FEB" w:rsidP="00737FEB">
      <w:pPr>
        <w:pStyle w:val="A-Grundtext"/>
      </w:pPr>
    </w:p>
    <w:p w14:paraId="4DC8A56B" w14:textId="1E49CC86" w:rsidR="00737FEB" w:rsidRPr="00737FEB" w:rsidRDefault="00737FEB" w:rsidP="00737FEB">
      <w:pPr>
        <w:pStyle w:val="A-Grundtext"/>
      </w:pPr>
      <w:r w:rsidRPr="00737FEB">
        <w:t>Der Schadengutachter bekommt vom Geschädigte</w:t>
      </w:r>
      <w:r w:rsidR="00B81810">
        <w:t>n</w:t>
      </w:r>
      <w:r w:rsidRPr="00737FEB">
        <w:t xml:space="preserve"> zwar Geld für die Erstellung des Gutachtens als solchem. Doch für das „zu viel“ an kalkuliertem Schadenumfang selbst bekommt der Gutachter von </w:t>
      </w:r>
      <w:r w:rsidRPr="00737FEB">
        <w:lastRenderedPageBreak/>
        <w:t>seinem Kunden nichts. Also kann der Kunde insoweit (also für die Folge einer unterstellt zu umfangreichen Reparatur) nichts vom Gutachter zurückfordern. Die vom BGH für die anderen Konstellationen vorgesehene Lösung über die Abtretung des Rückforderungsanspruchs an den Versicherer ist folglich verschlossen. Das ist die mit der richterrechtlichen Rechtsfortbildung des Vertrags mit Schutzwirkung zugunsten Dritter zu schließende Schutzlücke.</w:t>
      </w:r>
    </w:p>
    <w:p w14:paraId="257EDD9A" w14:textId="77777777" w:rsidR="00737FEB" w:rsidRPr="00737FEB" w:rsidRDefault="00737FEB" w:rsidP="00737FEB">
      <w:pPr>
        <w:pStyle w:val="A-Grundtext"/>
      </w:pPr>
    </w:p>
    <w:p w14:paraId="0F082DB9" w14:textId="77777777" w:rsidR="00737FEB" w:rsidRPr="00737FEB" w:rsidRDefault="00737FEB" w:rsidP="00737FEB">
      <w:pPr>
        <w:pStyle w:val="A-Grundtext"/>
      </w:pPr>
      <w:r w:rsidRPr="00737FEB">
        <w:t>Eine Zahlung auf eine überhöhte Reparaturrechnung – wenn sie denn vorliegt - kann der Kunde (Zedent) vom Leistungserbringer Werkstatt (Beklagte) jedoch zurückfordern. Diesen Rückforderungsanspruch kann er an den Versicherer (Zessionar) abtreten.</w:t>
      </w:r>
    </w:p>
    <w:p w14:paraId="47CEBE57" w14:textId="77777777" w:rsidR="00737FEB" w:rsidRPr="00737FEB" w:rsidRDefault="00737FEB" w:rsidP="00737FEB">
      <w:pPr>
        <w:pStyle w:val="A-Grundtext"/>
      </w:pPr>
    </w:p>
    <w:p w14:paraId="6168E8EB" w14:textId="7680CDEB" w:rsidR="00737FEB" w:rsidRPr="00737FEB" w:rsidRDefault="00737FEB" w:rsidP="00737FEB">
      <w:pPr>
        <w:pStyle w:val="A-Grundtext"/>
      </w:pPr>
      <w:r w:rsidRPr="00737FEB">
        <w:t>Das ist der alles entscheidende Unterschied, und deswegen liegt seit der wegweisenden Entscheidung des BGH vom 29.10.74, VI ZR 42/73, zitiert in NJW 1975, S. 160 ff keine Schutzlücke vor, die mit der richterrechtlichen Erfindung des Vertrags mit Schutzwirkung Dritter zu schließen sei.</w:t>
      </w:r>
    </w:p>
    <w:p w14:paraId="10BC6CFF" w14:textId="77777777" w:rsidR="00737FEB" w:rsidRPr="00737FEB" w:rsidRDefault="00737FEB" w:rsidP="00737FEB">
      <w:pPr>
        <w:pStyle w:val="A-Grundtext"/>
      </w:pPr>
    </w:p>
    <w:p w14:paraId="27AE1C26" w14:textId="77777777" w:rsidR="00737FEB" w:rsidRPr="00737FEB" w:rsidRDefault="00737FEB" w:rsidP="00737FEB">
      <w:pPr>
        <w:pStyle w:val="A-Grundtext"/>
      </w:pPr>
      <w:r w:rsidRPr="00737FEB">
        <w:t>Die Anwendung des „Vertrages mit Schutzwirkung zugunsten Dritter“ setzt aber eine Schutzlücke voraus.</w:t>
      </w:r>
    </w:p>
    <w:p w14:paraId="5D7AA968" w14:textId="77777777" w:rsidR="00737FEB" w:rsidRPr="00737FEB" w:rsidRDefault="00737FEB" w:rsidP="00737FEB">
      <w:pPr>
        <w:pStyle w:val="A-Grundtext"/>
      </w:pPr>
    </w:p>
    <w:p w14:paraId="45C1DF2F" w14:textId="59EAB894" w:rsidR="00737FEB" w:rsidRPr="00737FEB" w:rsidRDefault="00737FEB" w:rsidP="00737FEB">
      <w:pPr>
        <w:pStyle w:val="A-Grundtext"/>
      </w:pPr>
      <w:r w:rsidRPr="00737FEB">
        <w:t>Mit sehr guten Ausführungen zu dem Unterschied zwischen der Situation „Gutachtenvertrag“ und der Situation „Reparaturvertrag“ lehnt auch das LG Berlin, die Übertragung der Rechtsprechung zum Vertrag mit Schutzwirkung zugunsten Dritter auf den Werkstattvertrag ab und bestätigt damit das vorhergehende Urteil des AG Schöneberg (LG Berlin, Beschluss vom 29.4.19</w:t>
      </w:r>
      <w:r w:rsidR="00B81810">
        <w:t>,</w:t>
      </w:r>
      <w:r w:rsidRPr="00737FEB">
        <w:t xml:space="preserve"> 11 S 7/18).</w:t>
      </w:r>
    </w:p>
    <w:p w14:paraId="399BF733" w14:textId="77777777" w:rsidR="00737FEB" w:rsidRPr="00737FEB" w:rsidRDefault="00737FEB" w:rsidP="00737FEB">
      <w:pPr>
        <w:pStyle w:val="A-Grundtext"/>
      </w:pPr>
    </w:p>
    <w:p w14:paraId="2F67334C" w14:textId="77777777" w:rsidR="00737FEB" w:rsidRPr="00737FEB" w:rsidRDefault="00737FEB" w:rsidP="00737FEB">
      <w:pPr>
        <w:pStyle w:val="A-Grundtext"/>
      </w:pPr>
      <w:r w:rsidRPr="00737FEB">
        <w:t>Viele andere Urteile in diesem Sinne können vorgelegt werden.</w:t>
      </w:r>
    </w:p>
    <w:p w14:paraId="2527C74C" w14:textId="77777777" w:rsidR="00737FEB" w:rsidRPr="00737FEB" w:rsidRDefault="00737FEB" w:rsidP="00737FEB">
      <w:pPr>
        <w:pStyle w:val="A-Grundtext"/>
      </w:pPr>
    </w:p>
    <w:p w14:paraId="02157C8A" w14:textId="77777777" w:rsidR="00737FEB" w:rsidRPr="00737FEB" w:rsidRDefault="00737FEB" w:rsidP="00737FEB">
      <w:pPr>
        <w:pStyle w:val="A-Grundtext"/>
      </w:pPr>
      <w:r w:rsidRPr="00737FEB">
        <w:t>Nachdem es bereits an der Aktivlegitimation der Klägerin fehlt, kommt es auf die nachfolgenden inhaltlichen Fragen nur noch hilfsweise an.</w:t>
      </w: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21AE" w14:textId="77777777" w:rsidR="00A81A93" w:rsidRDefault="00A81A93" w:rsidP="00B2150E">
      <w:pPr>
        <w:spacing w:after="0" w:line="240" w:lineRule="auto"/>
      </w:pPr>
      <w:r>
        <w:separator/>
      </w:r>
    </w:p>
  </w:endnote>
  <w:endnote w:type="continuationSeparator" w:id="0">
    <w:p w14:paraId="05330293" w14:textId="77777777" w:rsidR="00A81A93" w:rsidRDefault="00A81A93"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7777777"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AA6C" w14:textId="77777777" w:rsidR="00A81A93" w:rsidRDefault="00A81A93" w:rsidP="00B2150E">
      <w:pPr>
        <w:spacing w:after="0" w:line="240" w:lineRule="auto"/>
      </w:pPr>
      <w:r>
        <w:separator/>
      </w:r>
    </w:p>
  </w:footnote>
  <w:footnote w:type="continuationSeparator" w:id="0">
    <w:p w14:paraId="759703F4" w14:textId="77777777" w:rsidR="00A81A93" w:rsidRDefault="00A81A93"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A73BA"/>
    <w:rsid w:val="000B07BE"/>
    <w:rsid w:val="000B778D"/>
    <w:rsid w:val="000C67E6"/>
    <w:rsid w:val="000D00F1"/>
    <w:rsid w:val="000E216C"/>
    <w:rsid w:val="000E3168"/>
    <w:rsid w:val="000E5957"/>
    <w:rsid w:val="00151769"/>
    <w:rsid w:val="00195308"/>
    <w:rsid w:val="001A2720"/>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A4958"/>
    <w:rsid w:val="003B0C0E"/>
    <w:rsid w:val="004033C6"/>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37FEB"/>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542DD"/>
    <w:rsid w:val="00A81A93"/>
    <w:rsid w:val="00AC24B7"/>
    <w:rsid w:val="00AD68A2"/>
    <w:rsid w:val="00AE07BD"/>
    <w:rsid w:val="00AF49EB"/>
    <w:rsid w:val="00B06839"/>
    <w:rsid w:val="00B1645A"/>
    <w:rsid w:val="00B2150E"/>
    <w:rsid w:val="00B55676"/>
    <w:rsid w:val="00B81810"/>
    <w:rsid w:val="00B9664D"/>
    <w:rsid w:val="00BB3C7C"/>
    <w:rsid w:val="00BC1A18"/>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 w:id="624652613">
      <w:bodyDiv w:val="1"/>
      <w:marLeft w:val="0"/>
      <w:marRight w:val="0"/>
      <w:marTop w:val="0"/>
      <w:marBottom w:val="0"/>
      <w:divBdr>
        <w:top w:val="none" w:sz="0" w:space="0" w:color="auto"/>
        <w:left w:val="none" w:sz="0" w:space="0" w:color="auto"/>
        <w:bottom w:val="none" w:sz="0" w:space="0" w:color="auto"/>
        <w:right w:val="none" w:sz="0" w:space="0" w:color="auto"/>
      </w:divBdr>
    </w:div>
    <w:div w:id="967975216">
      <w:bodyDiv w:val="1"/>
      <w:marLeft w:val="0"/>
      <w:marRight w:val="0"/>
      <w:marTop w:val="0"/>
      <w:marBottom w:val="0"/>
      <w:divBdr>
        <w:top w:val="none" w:sz="0" w:space="0" w:color="auto"/>
        <w:left w:val="none" w:sz="0" w:space="0" w:color="auto"/>
        <w:bottom w:val="none" w:sz="0" w:space="0" w:color="auto"/>
        <w:right w:val="none" w:sz="0" w:space="0" w:color="auto"/>
      </w:divBdr>
    </w:div>
    <w:div w:id="1021709080">
      <w:bodyDiv w:val="1"/>
      <w:marLeft w:val="0"/>
      <w:marRight w:val="0"/>
      <w:marTop w:val="0"/>
      <w:marBottom w:val="0"/>
      <w:divBdr>
        <w:top w:val="none" w:sz="0" w:space="0" w:color="auto"/>
        <w:left w:val="none" w:sz="0" w:space="0" w:color="auto"/>
        <w:bottom w:val="none" w:sz="0" w:space="0" w:color="auto"/>
        <w:right w:val="none" w:sz="0" w:space="0" w:color="auto"/>
      </w:divBdr>
    </w:div>
    <w:div w:id="15210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9331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Christian Stake</cp:lastModifiedBy>
  <cp:revision>11</cp:revision>
  <cp:lastPrinted>2023-12-04T11:30:00Z</cp:lastPrinted>
  <dcterms:created xsi:type="dcterms:W3CDTF">2022-08-04T11:26:00Z</dcterms:created>
  <dcterms:modified xsi:type="dcterms:W3CDTF">2025-11-11T12:19:00Z</dcterms:modified>
</cp:coreProperties>
</file>